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6CD9" w14:textId="61C2E090" w:rsidR="00C50A5E" w:rsidRDefault="00C50A5E" w:rsidP="006E08DA">
      <w:pPr>
        <w:rPr>
          <w:b/>
          <w:sz w:val="24"/>
        </w:rPr>
      </w:pPr>
      <w:r>
        <w:rPr>
          <w:rFonts w:ascii="Cambria" w:hAnsi="Cambria" w:cs="Helvetica"/>
          <w:b/>
          <w:noProof/>
          <w:color w:val="333333"/>
          <w:sz w:val="32"/>
          <w:szCs w:val="32"/>
          <w:shd w:val="clear" w:color="auto" w:fill="FFFFFF"/>
          <w:lang w:eastAsia="it-IT"/>
        </w:rPr>
        <w:drawing>
          <wp:anchor distT="0" distB="0" distL="114300" distR="114300" simplePos="0" relativeHeight="251739136" behindDoc="1" locked="0" layoutInCell="1" allowOverlap="1" wp14:anchorId="0C2DEF46" wp14:editId="594106AD">
            <wp:simplePos x="0" y="0"/>
            <wp:positionH relativeFrom="margin">
              <wp:posOffset>0</wp:posOffset>
            </wp:positionH>
            <wp:positionV relativeFrom="page">
              <wp:posOffset>1204595</wp:posOffset>
            </wp:positionV>
            <wp:extent cx="2829560" cy="914400"/>
            <wp:effectExtent l="0" t="0" r="8890" b="0"/>
            <wp:wrapTopAndBottom/>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ciaa_202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9560" cy="914400"/>
                    </a:xfrm>
                    <a:prstGeom prst="rect">
                      <a:avLst/>
                    </a:prstGeom>
                  </pic:spPr>
                </pic:pic>
              </a:graphicData>
            </a:graphic>
            <wp14:sizeRelH relativeFrom="margin">
              <wp14:pctWidth>0</wp14:pctWidth>
            </wp14:sizeRelH>
            <wp14:sizeRelV relativeFrom="margin">
              <wp14:pctHeight>0</wp14:pctHeight>
            </wp14:sizeRelV>
          </wp:anchor>
        </w:drawing>
      </w:r>
    </w:p>
    <w:p w14:paraId="2EAA082B" w14:textId="77777777" w:rsidR="00C50A5E" w:rsidRDefault="00C50A5E" w:rsidP="006E08DA">
      <w:pPr>
        <w:rPr>
          <w:b/>
          <w:sz w:val="24"/>
        </w:rPr>
      </w:pPr>
    </w:p>
    <w:p w14:paraId="6A6C3207" w14:textId="41B044AF" w:rsidR="00E23889" w:rsidRDefault="00192E32" w:rsidP="006E08DA">
      <w:pPr>
        <w:rPr>
          <w:b/>
          <w:sz w:val="24"/>
        </w:rPr>
      </w:pPr>
      <w:bookmarkStart w:id="0" w:name="_GoBack"/>
      <w:bookmarkEnd w:id="0"/>
      <w:r w:rsidRPr="00E23889">
        <w:rPr>
          <w:b/>
          <w:sz w:val="24"/>
        </w:rPr>
        <w:t xml:space="preserve">L’INTERSCAMBIO COMMERCIALE DELLA PROVINCIA DI FIRENZE NEL </w:t>
      </w:r>
      <w:r w:rsidR="00291A62">
        <w:rPr>
          <w:b/>
          <w:sz w:val="24"/>
        </w:rPr>
        <w:t>TERZO</w:t>
      </w:r>
      <w:r w:rsidRPr="00E23889">
        <w:rPr>
          <w:b/>
          <w:sz w:val="24"/>
        </w:rPr>
        <w:t xml:space="preserve"> TRIMESTRE 202</w:t>
      </w:r>
      <w:r w:rsidR="00463573">
        <w:rPr>
          <w:b/>
          <w:sz w:val="24"/>
        </w:rPr>
        <w:t>5</w:t>
      </w:r>
    </w:p>
    <w:p w14:paraId="75798C32" w14:textId="67C1F62E" w:rsidR="003D3B75" w:rsidRPr="003D3B75" w:rsidRDefault="003D3B75" w:rsidP="006E08DA">
      <w:pPr>
        <w:rPr>
          <w:b/>
          <w:i/>
          <w:iCs/>
          <w:sz w:val="24"/>
        </w:rPr>
      </w:pPr>
      <w:r>
        <w:rPr>
          <w:b/>
          <w:i/>
          <w:iCs/>
          <w:sz w:val="24"/>
        </w:rPr>
        <w:t>Quadro di sintesi</w:t>
      </w:r>
    </w:p>
    <w:p w14:paraId="2A2A0A28" w14:textId="77777777" w:rsidR="002857B5" w:rsidRDefault="00291A62" w:rsidP="00DD7095">
      <w:pPr>
        <w:jc w:val="both"/>
      </w:pPr>
      <w:bookmarkStart w:id="1" w:name="_Hlk210204977"/>
      <w:bookmarkStart w:id="2" w:name="_Hlk216349954"/>
      <w:r w:rsidRPr="00291A62">
        <w:t>Nel terzo trimestre del 202</w:t>
      </w:r>
      <w:r>
        <w:t>5</w:t>
      </w:r>
      <w:r w:rsidRPr="00291A62">
        <w:t xml:space="preserve"> il commercio estero fiorentino </w:t>
      </w:r>
      <w:r>
        <w:t>procede</w:t>
      </w:r>
      <w:r w:rsidRPr="00291A62">
        <w:t xml:space="preserve"> confermando l’andamento positivo dei precedenti trimestri, con un aumento</w:t>
      </w:r>
      <w:r w:rsidR="009474E9">
        <w:t xml:space="preserve"> che a </w:t>
      </w:r>
      <w:r w:rsidR="0078642C">
        <w:t>va</w:t>
      </w:r>
      <w:r w:rsidR="002D7171">
        <w:t>lori correnti evidenzia un +</w:t>
      </w:r>
      <w:r w:rsidR="00667A07">
        <w:t>4</w:t>
      </w:r>
      <w:r w:rsidR="00463573">
        <w:t>8,</w:t>
      </w:r>
      <w:r w:rsidR="00667A07">
        <w:t>2</w:t>
      </w:r>
      <w:r w:rsidR="002D7171">
        <w:t xml:space="preserve">% </w:t>
      </w:r>
      <w:r w:rsidR="00667A07" w:rsidRPr="00667A07">
        <w:t>passando dai 16,9 miliardi di euro dello stesso periodo dell’anno precedente ai 25 di questo attuale</w:t>
      </w:r>
      <w:r w:rsidR="00463573">
        <w:t xml:space="preserve">, cumulando i primi </w:t>
      </w:r>
      <w:r>
        <w:t>tre</w:t>
      </w:r>
      <w:r w:rsidR="00463573">
        <w:t xml:space="preserve"> trimestri, </w:t>
      </w:r>
      <w:r w:rsidR="009474E9">
        <w:t>ed evidenziando un incremento maggiormente sostenuto rispetto all</w:t>
      </w:r>
      <w:r w:rsidR="002D7171">
        <w:t xml:space="preserve">o stesso periodo del </w:t>
      </w:r>
      <w:r w:rsidR="00667A07">
        <w:t>2024;</w:t>
      </w:r>
      <w:r w:rsidR="00700599">
        <w:t xml:space="preserve"> se sommiamo gli ultimi quattro trimest</w:t>
      </w:r>
      <w:r w:rsidR="00F03508">
        <w:t xml:space="preserve">ri terminanti nel </w:t>
      </w:r>
      <w:r>
        <w:t>terzo</w:t>
      </w:r>
      <w:r w:rsidR="00F03508">
        <w:t xml:space="preserve"> del 202</w:t>
      </w:r>
      <w:r w:rsidR="00463573">
        <w:t>5</w:t>
      </w:r>
      <w:r w:rsidR="00700599">
        <w:t xml:space="preserve"> e riportiamo ad anno il dato delle esportazioni, possiamo osservare un valore esportato ch</w:t>
      </w:r>
      <w:r w:rsidR="0048679F">
        <w:t xml:space="preserve">e </w:t>
      </w:r>
      <w:r w:rsidR="00463573">
        <w:t>sale</w:t>
      </w:r>
      <w:r w:rsidR="0048679F">
        <w:t xml:space="preserve"> </w:t>
      </w:r>
      <w:r w:rsidR="00463573">
        <w:t xml:space="preserve">a </w:t>
      </w:r>
      <w:r w:rsidR="00667A07">
        <w:t>32,3</w:t>
      </w:r>
      <w:r>
        <w:t xml:space="preserve"> </w:t>
      </w:r>
      <w:r w:rsidR="00700599">
        <w:t xml:space="preserve">miliardi di euro con </w:t>
      </w:r>
      <w:r w:rsidR="0048679F">
        <w:t>un incremento tendenziale d</w:t>
      </w:r>
      <w:r w:rsidR="00667A07">
        <w:t>i oltre il 40</w:t>
      </w:r>
      <w:r w:rsidR="00700599">
        <w:t xml:space="preserve">%. </w:t>
      </w:r>
      <w:r>
        <w:t>Non si rilevano modifiche sostanziali</w:t>
      </w:r>
      <w:r w:rsidR="00667A07">
        <w:t xml:space="preserve"> rispetto a quanto rimarcato e segnalato per il precedente trimestre</w:t>
      </w:r>
      <w:r>
        <w:t xml:space="preserve">, </w:t>
      </w:r>
      <w:r w:rsidR="00463573">
        <w:t xml:space="preserve">in quanto si tratta di una </w:t>
      </w:r>
      <w:r w:rsidR="00463573" w:rsidRPr="00463573">
        <w:t xml:space="preserve">tendenza di </w:t>
      </w:r>
      <w:r w:rsidR="00463573">
        <w:t xml:space="preserve">marcata </w:t>
      </w:r>
      <w:r w:rsidR="00463573" w:rsidRPr="00463573">
        <w:t xml:space="preserve">crescita aggregata delle esportazioni </w:t>
      </w:r>
      <w:r w:rsidR="00463573">
        <w:t>correlata ad alcuni fattori</w:t>
      </w:r>
      <w:r w:rsidR="00463573" w:rsidRPr="00463573">
        <w:t>,</w:t>
      </w:r>
      <w:r>
        <w:t xml:space="preserve"> persistenti </w:t>
      </w:r>
      <w:r w:rsidR="00463573" w:rsidRPr="00463573">
        <w:t xml:space="preserve">ed incisivi caratterizzanti proprio l’attuale congiuntura: </w:t>
      </w:r>
      <w:r w:rsidR="00463573">
        <w:t xml:space="preserve">carattere fortemente prevalente </w:t>
      </w:r>
      <w:r w:rsidR="00463573" w:rsidRPr="00463573">
        <w:t xml:space="preserve">del comparto farmaceutico nell’orientare il segno </w:t>
      </w:r>
      <w:r w:rsidR="00463573">
        <w:t xml:space="preserve">e la direzione </w:t>
      </w:r>
      <w:r w:rsidR="00463573" w:rsidRPr="00463573">
        <w:t>del</w:t>
      </w:r>
      <w:r w:rsidR="00463573">
        <w:t>le</w:t>
      </w:r>
      <w:r w:rsidR="00463573" w:rsidRPr="00463573">
        <w:t xml:space="preserve"> nostr</w:t>
      </w:r>
      <w:r w:rsidR="00463573">
        <w:t>e esportazioni</w:t>
      </w:r>
      <w:r w:rsidR="00463573" w:rsidRPr="00463573">
        <w:t>; un secondo è</w:t>
      </w:r>
      <w:r w:rsidR="00667A07">
        <w:t xml:space="preserve"> sempre</w:t>
      </w:r>
      <w:r w:rsidR="00463573" w:rsidRPr="00463573">
        <w:t xml:space="preserve"> la necessità di massimizzare la direttrice statunitense, </w:t>
      </w:r>
      <w:r w:rsidR="00692652">
        <w:t>prima dell’effettiva entrata in vigore dei dazi</w:t>
      </w:r>
      <w:r w:rsidR="00463573" w:rsidRPr="00463573">
        <w:t>, soprattutto come export (+</w:t>
      </w:r>
      <w:r w:rsidR="00667A07">
        <w:t>30</w:t>
      </w:r>
      <w:r w:rsidR="00463573" w:rsidRPr="00463573">
        <w:t>%); un terzo, tuttavia, è la</w:t>
      </w:r>
      <w:r w:rsidR="00692652">
        <w:t xml:space="preserve"> conferma della discreta</w:t>
      </w:r>
      <w:r w:rsidR="00463573" w:rsidRPr="00463573">
        <w:t xml:space="preserve"> capacità di tenuta e di ripartenza che sta mostrando la meccanica strumentale (</w:t>
      </w:r>
      <w:r w:rsidR="00692652">
        <w:t>+</w:t>
      </w:r>
      <w:r w:rsidR="00667A07">
        <w:t>15,5</w:t>
      </w:r>
      <w:r w:rsidR="00463573" w:rsidRPr="00463573">
        <w:t xml:space="preserve">%). </w:t>
      </w:r>
      <w:r w:rsidR="00692652">
        <w:t>Si conferma anche il fatto che al netto del</w:t>
      </w:r>
      <w:r w:rsidR="00463573" w:rsidRPr="00463573">
        <w:t xml:space="preserve"> comparto farmaceutico si avrebbe un </w:t>
      </w:r>
      <w:r w:rsidR="00692652">
        <w:t xml:space="preserve">contrazione </w:t>
      </w:r>
      <w:r w:rsidR="00463573" w:rsidRPr="00463573">
        <w:t>del valore esportato tendenziale (</w:t>
      </w:r>
      <w:r w:rsidR="00692652">
        <w:t>in termini cumulati</w:t>
      </w:r>
      <w:r w:rsidR="00463573" w:rsidRPr="00463573">
        <w:t xml:space="preserve">) </w:t>
      </w:r>
      <w:r w:rsidR="00692652">
        <w:t>pari al</w:t>
      </w:r>
      <w:r w:rsidR="00667A07">
        <w:t xml:space="preserve"> 5,3</w:t>
      </w:r>
      <w:r w:rsidR="00463573" w:rsidRPr="00463573">
        <w:t xml:space="preserve">% </w:t>
      </w:r>
      <w:r w:rsidR="00667A07">
        <w:t xml:space="preserve">in meno </w:t>
      </w:r>
      <w:r w:rsidR="00463573" w:rsidRPr="00463573">
        <w:t xml:space="preserve">considerando che il comparto </w:t>
      </w:r>
      <w:r w:rsidR="00667A07">
        <w:t>è arrivato a pesare per</w:t>
      </w:r>
      <w:r w:rsidR="00463573" w:rsidRPr="00463573">
        <w:t xml:space="preserve"> ben il </w:t>
      </w:r>
      <w:r w:rsidR="00692652">
        <w:t>5</w:t>
      </w:r>
      <w:r w:rsidR="00667A07">
        <w:t>5</w:t>
      </w:r>
      <w:r w:rsidR="00463573" w:rsidRPr="00463573">
        <w:t>%.</w:t>
      </w:r>
      <w:r w:rsidR="005F6F15">
        <w:t xml:space="preserve"> </w:t>
      </w:r>
      <w:bookmarkEnd w:id="1"/>
      <w:r w:rsidR="005A730B">
        <w:t>Questa forte variazione positiva dell’export, in aggregato, quindi</w:t>
      </w:r>
      <w:r w:rsidR="005A730B" w:rsidRPr="005A730B">
        <w:t xml:space="preserve"> rappresenta parzialmente una sorpresa, in quanto si conferma in un contesto caratterizzato da forte incertezza sul fronte degli scambi internazionali</w:t>
      </w:r>
      <w:r w:rsidR="002857B5">
        <w:t>, con un comparto farmaceutico che copre una perdita che potrebbe destare qualche preoccupazione a parte la tenuta di qualche settore, come vedremo</w:t>
      </w:r>
      <w:r w:rsidR="005A730B" w:rsidRPr="005A730B">
        <w:t xml:space="preserve">; tale dinamica al terzo trimestre segue il </w:t>
      </w:r>
      <w:r w:rsidR="002857B5">
        <w:t>periodo</w:t>
      </w:r>
      <w:r w:rsidR="005A730B" w:rsidRPr="005A730B">
        <w:t xml:space="preserve"> precedente, che a sua volta era stato </w:t>
      </w:r>
      <w:r w:rsidR="002857B5">
        <w:t>segnato</w:t>
      </w:r>
      <w:r w:rsidR="005A730B" w:rsidRPr="005A730B">
        <w:t xml:space="preserve"> dal fenomeno del front loading verificatosi soprattutto nella prima parte dell’anno, legato ad una ulteriore accelerazione finalizzata ad anticipare l’introduzione dei dazi americani</w:t>
      </w:r>
      <w:r w:rsidR="002857B5">
        <w:t>. Tuttavia</w:t>
      </w:r>
      <w:r w:rsidR="005A730B" w:rsidRPr="005A730B">
        <w:t xml:space="preserve"> anche in questo frangente </w:t>
      </w:r>
      <w:r w:rsidR="002857B5">
        <w:t xml:space="preserve">il </w:t>
      </w:r>
      <w:proofErr w:type="spellStart"/>
      <w:r w:rsidR="002857B5">
        <w:t>frontloading</w:t>
      </w:r>
      <w:proofErr w:type="spellEnd"/>
      <w:r w:rsidR="002857B5">
        <w:t xml:space="preserve"> (a forte connotazione settoriale) si fa sentire, considerando anche </w:t>
      </w:r>
      <w:r w:rsidR="005A730B" w:rsidRPr="005A730B">
        <w:t>che la reale applicazione dovrebbe probabilmente andare oltre il periodo autunnale, dovendo probabilmente affrontare un periodo di rodaggio nei primi mesi successivi all’effettiva entrata in vigore.</w:t>
      </w:r>
      <w:bookmarkEnd w:id="2"/>
    </w:p>
    <w:p w14:paraId="3EE9BD19" w14:textId="2D8F3B62" w:rsidR="00D912E9" w:rsidRPr="002857B5" w:rsidRDefault="002857B5" w:rsidP="00DD7095">
      <w:pPr>
        <w:jc w:val="both"/>
      </w:pPr>
      <w:r>
        <w:t>Continua a risultare p</w:t>
      </w:r>
      <w:r w:rsidR="001917D8">
        <w:rPr>
          <w:sz w:val="24"/>
        </w:rPr>
        <w:t xml:space="preserve">iuttosto intenso </w:t>
      </w:r>
      <w:r>
        <w:rPr>
          <w:sz w:val="24"/>
        </w:rPr>
        <w:t xml:space="preserve">anche </w:t>
      </w:r>
      <w:r w:rsidR="001917D8">
        <w:rPr>
          <w:sz w:val="24"/>
        </w:rPr>
        <w:t>l’incremento del</w:t>
      </w:r>
      <w:r w:rsidR="00CF2B77" w:rsidRPr="006D45CD">
        <w:rPr>
          <w:sz w:val="24"/>
        </w:rPr>
        <w:t>le importazioni</w:t>
      </w:r>
      <w:r w:rsidR="003A17BB" w:rsidRPr="006D45CD">
        <w:rPr>
          <w:sz w:val="24"/>
        </w:rPr>
        <w:t xml:space="preserve"> </w:t>
      </w:r>
      <w:r w:rsidR="001917D8">
        <w:rPr>
          <w:sz w:val="24"/>
        </w:rPr>
        <w:t>(</w:t>
      </w:r>
      <w:r>
        <w:rPr>
          <w:sz w:val="24"/>
        </w:rPr>
        <w:t xml:space="preserve">da </w:t>
      </w:r>
      <w:r w:rsidR="001917D8">
        <w:rPr>
          <w:sz w:val="24"/>
        </w:rPr>
        <w:t>+</w:t>
      </w:r>
      <w:r w:rsidR="006E144E">
        <w:rPr>
          <w:sz w:val="24"/>
        </w:rPr>
        <w:t>78,5</w:t>
      </w:r>
      <w:r w:rsidR="007A1AB0" w:rsidRPr="006D45CD">
        <w:rPr>
          <w:sz w:val="24"/>
        </w:rPr>
        <w:t>%</w:t>
      </w:r>
      <w:r>
        <w:rPr>
          <w:sz w:val="24"/>
        </w:rPr>
        <w:t xml:space="preserve"> a +112%</w:t>
      </w:r>
      <w:r w:rsidR="007A1AB0" w:rsidRPr="006D45CD">
        <w:rPr>
          <w:sz w:val="24"/>
        </w:rPr>
        <w:t>) con un valore intorno</w:t>
      </w:r>
      <w:r>
        <w:rPr>
          <w:sz w:val="24"/>
        </w:rPr>
        <w:t>, cumulando i primi tre trimestri, che sale ad oltre</w:t>
      </w:r>
      <w:r w:rsidR="007A1AB0" w:rsidRPr="006D45CD">
        <w:rPr>
          <w:sz w:val="24"/>
        </w:rPr>
        <w:t xml:space="preserve"> </w:t>
      </w:r>
      <w:r>
        <w:rPr>
          <w:sz w:val="24"/>
        </w:rPr>
        <w:t xml:space="preserve">21 </w:t>
      </w:r>
      <w:r w:rsidR="00ED5DDE" w:rsidRPr="006D45CD">
        <w:rPr>
          <w:sz w:val="24"/>
        </w:rPr>
        <w:t xml:space="preserve">miliardi, che </w:t>
      </w:r>
      <w:r w:rsidR="001C0EF4" w:rsidRPr="006D45CD">
        <w:rPr>
          <w:sz w:val="24"/>
        </w:rPr>
        <w:t xml:space="preserve">non </w:t>
      </w:r>
      <w:r w:rsidR="00ED5DDE" w:rsidRPr="006D45CD">
        <w:rPr>
          <w:sz w:val="24"/>
        </w:rPr>
        <w:t>risente</w:t>
      </w:r>
      <w:r w:rsidR="001C0EF4" w:rsidRPr="006D45CD">
        <w:rPr>
          <w:sz w:val="24"/>
        </w:rPr>
        <w:t xml:space="preserve"> </w:t>
      </w:r>
      <w:r w:rsidR="00C86520">
        <w:rPr>
          <w:sz w:val="24"/>
        </w:rPr>
        <w:t>più</w:t>
      </w:r>
      <w:r w:rsidR="00ED5DDE" w:rsidRPr="006D45CD">
        <w:rPr>
          <w:sz w:val="24"/>
        </w:rPr>
        <w:t xml:space="preserve"> dell</w:t>
      </w:r>
      <w:r w:rsidR="007D3769" w:rsidRPr="006D45CD">
        <w:rPr>
          <w:sz w:val="24"/>
        </w:rPr>
        <w:t xml:space="preserve">’aumento dei prezzi all’import, </w:t>
      </w:r>
      <w:r w:rsidR="00C86520">
        <w:rPr>
          <w:sz w:val="24"/>
        </w:rPr>
        <w:t>in via</w:t>
      </w:r>
      <w:r w:rsidR="007A1AB0" w:rsidRPr="006D45CD">
        <w:rPr>
          <w:sz w:val="24"/>
        </w:rPr>
        <w:t xml:space="preserve"> di ridimensionamento</w:t>
      </w:r>
      <w:r w:rsidR="007D3769" w:rsidRPr="006D45CD">
        <w:rPr>
          <w:sz w:val="24"/>
        </w:rPr>
        <w:t xml:space="preserve">, </w:t>
      </w:r>
      <w:r w:rsidR="00C86520">
        <w:rPr>
          <w:sz w:val="24"/>
        </w:rPr>
        <w:t xml:space="preserve">ma </w:t>
      </w:r>
      <w:r w:rsidR="008D0192">
        <w:rPr>
          <w:sz w:val="24"/>
        </w:rPr>
        <w:t>continua a risentire de</w:t>
      </w:r>
      <w:r w:rsidR="00C86520">
        <w:rPr>
          <w:sz w:val="24"/>
        </w:rPr>
        <w:t xml:space="preserve">l peso sempre più </w:t>
      </w:r>
      <w:r>
        <w:rPr>
          <w:sz w:val="24"/>
        </w:rPr>
        <w:t>pesante</w:t>
      </w:r>
      <w:r w:rsidR="00C86520">
        <w:rPr>
          <w:sz w:val="24"/>
        </w:rPr>
        <w:t xml:space="preserve"> </w:t>
      </w:r>
      <w:r w:rsidR="001C0EF4" w:rsidRPr="006D45CD">
        <w:rPr>
          <w:sz w:val="24"/>
        </w:rPr>
        <w:t>del traffico di perfezionamento interno al settore farmaceutico</w:t>
      </w:r>
      <w:r w:rsidR="00ED5DDE" w:rsidRPr="006D45CD">
        <w:rPr>
          <w:sz w:val="24"/>
        </w:rPr>
        <w:t>. La</w:t>
      </w:r>
      <w:r w:rsidR="002252C6" w:rsidRPr="006D45CD">
        <w:rPr>
          <w:sz w:val="24"/>
        </w:rPr>
        <w:t xml:space="preserve"> differenza fra esportazioni </w:t>
      </w:r>
      <w:proofErr w:type="spellStart"/>
      <w:r w:rsidR="002252C6" w:rsidRPr="006D45CD">
        <w:rPr>
          <w:sz w:val="24"/>
        </w:rPr>
        <w:t>ed</w:t>
      </w:r>
      <w:proofErr w:type="spellEnd"/>
      <w:r w:rsidR="002252C6" w:rsidRPr="006D45CD">
        <w:rPr>
          <w:sz w:val="24"/>
        </w:rPr>
        <w:t xml:space="preserve"> </w:t>
      </w:r>
      <w:r w:rsidR="00ED5DDE" w:rsidRPr="006D45CD">
        <w:rPr>
          <w:sz w:val="24"/>
        </w:rPr>
        <w:t>importazioni sintetizza un avanzo della bilancia commerciale che tende</w:t>
      </w:r>
      <w:r w:rsidR="001C0EF4" w:rsidRPr="006D45CD">
        <w:rPr>
          <w:sz w:val="24"/>
        </w:rPr>
        <w:t xml:space="preserve"> moderatamente a rallentare per effetto dell’ingente cre</w:t>
      </w:r>
      <w:r w:rsidR="00C86520">
        <w:rPr>
          <w:sz w:val="24"/>
        </w:rPr>
        <w:t>scita delle importazioni (</w:t>
      </w:r>
      <w:proofErr w:type="gramStart"/>
      <w:r w:rsidR="00C86520">
        <w:rPr>
          <w:sz w:val="24"/>
        </w:rPr>
        <w:t>da  a</w:t>
      </w:r>
      <w:proofErr w:type="gramEnd"/>
      <w:r w:rsidR="00C86520">
        <w:rPr>
          <w:sz w:val="24"/>
        </w:rPr>
        <w:t xml:space="preserve"> </w:t>
      </w:r>
      <w:r>
        <w:rPr>
          <w:sz w:val="24"/>
        </w:rPr>
        <w:t>6,8</w:t>
      </w:r>
      <w:r w:rsidR="001C0EF4" w:rsidRPr="006D45CD">
        <w:rPr>
          <w:sz w:val="24"/>
        </w:rPr>
        <w:t xml:space="preserve"> miliardi di euro</w:t>
      </w:r>
      <w:r>
        <w:rPr>
          <w:sz w:val="24"/>
        </w:rPr>
        <w:t xml:space="preserve"> a 3,7 miliardi</w:t>
      </w:r>
      <w:r w:rsidR="001C0EF4" w:rsidRPr="006D45CD">
        <w:rPr>
          <w:sz w:val="24"/>
        </w:rPr>
        <w:t>)</w:t>
      </w:r>
      <w:r w:rsidR="00425709">
        <w:rPr>
          <w:sz w:val="24"/>
        </w:rPr>
        <w:t xml:space="preserve">; se togliamo l’effetto del farmaceutico l’avanzo della bilancia commerciale passerebbe </w:t>
      </w:r>
      <w:r w:rsidR="00D4300E">
        <w:rPr>
          <w:sz w:val="24"/>
        </w:rPr>
        <w:t>a 6,4</w:t>
      </w:r>
      <w:r w:rsidR="00425709">
        <w:rPr>
          <w:sz w:val="24"/>
        </w:rPr>
        <w:t xml:space="preserve"> miliardi di euro</w:t>
      </w:r>
      <w:r w:rsidR="00156A1F" w:rsidRPr="006D45CD">
        <w:rPr>
          <w:sz w:val="24"/>
        </w:rPr>
        <w:t xml:space="preserve">. </w:t>
      </w:r>
      <w:r w:rsidR="00425709">
        <w:rPr>
          <w:sz w:val="24"/>
        </w:rPr>
        <w:t xml:space="preserve">Da segnalare che le importazioni al netto del comparto farmaceutico </w:t>
      </w:r>
      <w:r w:rsidR="000B4F34">
        <w:rPr>
          <w:sz w:val="24"/>
        </w:rPr>
        <w:t xml:space="preserve">risulterebbero sostanzialmente </w:t>
      </w:r>
      <w:r w:rsidR="00D4300E">
        <w:rPr>
          <w:sz w:val="24"/>
        </w:rPr>
        <w:t>aumentare</w:t>
      </w:r>
      <w:r w:rsidR="008D0192">
        <w:rPr>
          <w:sz w:val="24"/>
        </w:rPr>
        <w:t xml:space="preserve"> </w:t>
      </w:r>
      <w:r w:rsidR="00425709">
        <w:rPr>
          <w:sz w:val="24"/>
        </w:rPr>
        <w:t>del</w:t>
      </w:r>
      <w:r w:rsidR="00D4300E">
        <w:rPr>
          <w:sz w:val="24"/>
        </w:rPr>
        <w:t>l’1,7</w:t>
      </w:r>
      <w:r w:rsidR="00425709">
        <w:rPr>
          <w:sz w:val="24"/>
        </w:rPr>
        <w:t>%</w:t>
      </w:r>
      <w:r w:rsidR="00A83CAE">
        <w:rPr>
          <w:sz w:val="24"/>
        </w:rPr>
        <w:t>.</w:t>
      </w:r>
    </w:p>
    <w:p w14:paraId="0F854C0B" w14:textId="07C0BA59" w:rsidR="00390632" w:rsidRDefault="002964AE" w:rsidP="006013C4">
      <w:pPr>
        <w:spacing w:after="0" w:line="240" w:lineRule="auto"/>
        <w:jc w:val="both"/>
        <w:rPr>
          <w:sz w:val="24"/>
        </w:rPr>
      </w:pPr>
      <w:r w:rsidRPr="002964AE">
        <w:rPr>
          <w:noProof/>
          <w:lang w:eastAsia="it-IT"/>
        </w:rPr>
        <w:lastRenderedPageBreak/>
        <w:drawing>
          <wp:anchor distT="0" distB="0" distL="114300" distR="114300" simplePos="0" relativeHeight="251734016" behindDoc="0" locked="0" layoutInCell="1" allowOverlap="1" wp14:anchorId="1C5841FD" wp14:editId="4642838F">
            <wp:simplePos x="0" y="0"/>
            <wp:positionH relativeFrom="margin">
              <wp:align>left</wp:align>
            </wp:positionH>
            <wp:positionV relativeFrom="paragraph">
              <wp:posOffset>4445</wp:posOffset>
            </wp:positionV>
            <wp:extent cx="3820160" cy="2794000"/>
            <wp:effectExtent l="0" t="0" r="8890" b="6350"/>
            <wp:wrapThrough wrapText="bothSides">
              <wp:wrapPolygon edited="0">
                <wp:start x="0" y="0"/>
                <wp:lineTo x="0" y="21502"/>
                <wp:lineTo x="21543" y="21502"/>
                <wp:lineTo x="21543"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0160" cy="279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 xml:space="preserve">L’articolazione dei </w:t>
      </w:r>
      <w:r w:rsidR="00A83CAE" w:rsidRPr="00227C25">
        <w:rPr>
          <w:sz w:val="24"/>
        </w:rPr>
        <w:t>dati per settore di attività,</w:t>
      </w:r>
      <w:r w:rsidR="003E7036" w:rsidRPr="00227C25">
        <w:rPr>
          <w:sz w:val="24"/>
        </w:rPr>
        <w:t xml:space="preserve"> </w:t>
      </w:r>
      <w:r w:rsidR="0096743B" w:rsidRPr="00227C25">
        <w:rPr>
          <w:sz w:val="24"/>
        </w:rPr>
        <w:t xml:space="preserve">tanto </w:t>
      </w:r>
      <w:r w:rsidR="003E7036" w:rsidRPr="00227C25">
        <w:rPr>
          <w:sz w:val="24"/>
        </w:rPr>
        <w:t>pe</w:t>
      </w:r>
      <w:r w:rsidR="002C35B2" w:rsidRPr="00227C25">
        <w:rPr>
          <w:sz w:val="24"/>
        </w:rPr>
        <w:t xml:space="preserve">r le esportazioni </w:t>
      </w:r>
      <w:r w:rsidR="0096743B" w:rsidRPr="00227C25">
        <w:rPr>
          <w:sz w:val="24"/>
        </w:rPr>
        <w:t xml:space="preserve">quanto per le importazioni continua a </w:t>
      </w:r>
      <w:r>
        <w:rPr>
          <w:sz w:val="24"/>
        </w:rPr>
        <w:t xml:space="preserve">caratterizzarsi a forte prevalenza </w:t>
      </w:r>
      <w:r w:rsidR="0096743B" w:rsidRPr="00227C25">
        <w:rPr>
          <w:sz w:val="24"/>
        </w:rPr>
        <w:t>del</w:t>
      </w:r>
      <w:r>
        <w:rPr>
          <w:sz w:val="24"/>
        </w:rPr>
        <w:t xml:space="preserve"> ruolo del</w:t>
      </w:r>
      <w:r w:rsidR="0096743B" w:rsidRPr="00227C25">
        <w:rPr>
          <w:sz w:val="24"/>
        </w:rPr>
        <w:t xml:space="preserve"> comparto farmaceutico, il </w:t>
      </w:r>
      <w:r w:rsidR="00874365" w:rsidRPr="00227C25">
        <w:rPr>
          <w:sz w:val="24"/>
        </w:rPr>
        <w:t>cui valore esportato cresce d</w:t>
      </w:r>
      <w:r w:rsidR="000D7589" w:rsidRPr="00227C25">
        <w:rPr>
          <w:sz w:val="24"/>
        </w:rPr>
        <w:t xml:space="preserve">i ben oltre il </w:t>
      </w:r>
      <w:r>
        <w:rPr>
          <w:sz w:val="24"/>
        </w:rPr>
        <w:t>100</w:t>
      </w:r>
      <w:r w:rsidR="00874365" w:rsidRPr="00227C25">
        <w:rPr>
          <w:sz w:val="24"/>
        </w:rPr>
        <w:t xml:space="preserve">% </w:t>
      </w:r>
      <w:r w:rsidR="0096743B" w:rsidRPr="00227C25">
        <w:rPr>
          <w:sz w:val="24"/>
        </w:rPr>
        <w:t>rispetto allo stes</w:t>
      </w:r>
      <w:r w:rsidR="00874365" w:rsidRPr="00227C25">
        <w:rPr>
          <w:sz w:val="24"/>
        </w:rPr>
        <w:t>so periodo dell’anno precedente, con un aumento</w:t>
      </w:r>
      <w:r w:rsidR="0096743B" w:rsidRPr="00227C25">
        <w:rPr>
          <w:sz w:val="24"/>
        </w:rPr>
        <w:t xml:space="preserve"> </w:t>
      </w:r>
      <w:r w:rsidR="00874365" w:rsidRPr="00227C25">
        <w:rPr>
          <w:sz w:val="24"/>
        </w:rPr>
        <w:t>del</w:t>
      </w:r>
      <w:r w:rsidR="0096743B" w:rsidRPr="00227C25">
        <w:rPr>
          <w:sz w:val="24"/>
        </w:rPr>
        <w:t xml:space="preserve">la quota di </w:t>
      </w:r>
      <w:r w:rsidR="00D912E9" w:rsidRPr="00227C25">
        <w:rPr>
          <w:sz w:val="24"/>
        </w:rPr>
        <w:t xml:space="preserve">incidenza </w:t>
      </w:r>
      <w:r w:rsidR="00C54220" w:rsidRPr="00227C25">
        <w:rPr>
          <w:sz w:val="24"/>
        </w:rPr>
        <w:t>che va quasi al raddoppio in punti</w:t>
      </w:r>
      <w:r w:rsidR="0096743B" w:rsidRPr="00227C25">
        <w:rPr>
          <w:sz w:val="24"/>
        </w:rPr>
        <w:t xml:space="preserve"> percentuali</w:t>
      </w:r>
      <w:r w:rsidR="00390632">
        <w:rPr>
          <w:sz w:val="24"/>
        </w:rPr>
        <w:t xml:space="preserve"> in un anno</w:t>
      </w:r>
      <w:r w:rsidR="00C54220" w:rsidRPr="00227C25">
        <w:rPr>
          <w:sz w:val="24"/>
        </w:rPr>
        <w:t>,</w:t>
      </w:r>
      <w:r w:rsidR="00D912E9" w:rsidRPr="00227C25">
        <w:rPr>
          <w:sz w:val="24"/>
        </w:rPr>
        <w:t xml:space="preserve"> collocandosi al </w:t>
      </w:r>
      <w:r w:rsidR="00C54220" w:rsidRPr="00227C25">
        <w:rPr>
          <w:sz w:val="24"/>
        </w:rPr>
        <w:t>5</w:t>
      </w:r>
      <w:r>
        <w:rPr>
          <w:sz w:val="24"/>
        </w:rPr>
        <w:t>5</w:t>
      </w:r>
      <w:r w:rsidR="00D912E9" w:rsidRPr="00227C25">
        <w:rPr>
          <w:sz w:val="24"/>
        </w:rPr>
        <w:t>% in termini di peso percentuale</w:t>
      </w:r>
      <w:r w:rsidR="005E304C" w:rsidRPr="00227C25">
        <w:rPr>
          <w:sz w:val="24"/>
        </w:rPr>
        <w:t xml:space="preserve">. Chiaramente la presenza di importanti poli produttivi nell'area fiorentina contribuisce in modo decisivo a questo risultato, rendendo il settore </w:t>
      </w:r>
      <w:proofErr w:type="gramStart"/>
      <w:r w:rsidR="005E304C" w:rsidRPr="00227C25">
        <w:rPr>
          <w:sz w:val="24"/>
        </w:rPr>
        <w:t>in  modo</w:t>
      </w:r>
      <w:proofErr w:type="gramEnd"/>
      <w:r w:rsidR="005E304C" w:rsidRPr="00227C25">
        <w:rPr>
          <w:sz w:val="24"/>
        </w:rPr>
        <w:t xml:space="preserve"> crescente un elemento fondamentale dell’economia locale (indipendentemente dal peso del traffico di perfezionamento)</w:t>
      </w:r>
      <w:r w:rsidR="00390632">
        <w:rPr>
          <w:sz w:val="24"/>
        </w:rPr>
        <w:t xml:space="preserve"> considerando anche un generale aumento della domanda globale di farmaci</w:t>
      </w:r>
      <w:r w:rsidR="005E304C" w:rsidRPr="00227C25">
        <w:rPr>
          <w:sz w:val="24"/>
        </w:rPr>
        <w:t>.</w:t>
      </w:r>
      <w:r w:rsidR="00390632">
        <w:rPr>
          <w:sz w:val="24"/>
        </w:rPr>
        <w:t xml:space="preserve"> Dall’altro lato viene confermato il </w:t>
      </w:r>
      <w:proofErr w:type="spellStart"/>
      <w:r w:rsidR="00390632" w:rsidRPr="00390632">
        <w:rPr>
          <w:i/>
          <w:iCs/>
          <w:sz w:val="24"/>
        </w:rPr>
        <w:t>luxury</w:t>
      </w:r>
      <w:proofErr w:type="spellEnd"/>
      <w:r w:rsidR="00390632" w:rsidRPr="00390632">
        <w:rPr>
          <w:i/>
          <w:iCs/>
          <w:sz w:val="24"/>
        </w:rPr>
        <w:t xml:space="preserve"> </w:t>
      </w:r>
      <w:proofErr w:type="spellStart"/>
      <w:r w:rsidR="00390632" w:rsidRPr="00390632">
        <w:rPr>
          <w:i/>
          <w:iCs/>
          <w:sz w:val="24"/>
        </w:rPr>
        <w:t>slowdown</w:t>
      </w:r>
      <w:proofErr w:type="spellEnd"/>
      <w:r w:rsidR="00390632">
        <w:rPr>
          <w:sz w:val="24"/>
        </w:rPr>
        <w:t xml:space="preserve"> con una contrazione dell’export di pelletteria che prosegue (-7,1%) anche se in misura meno intensa rispetto al precedente trimestre (-15%) ciò si correla in particolare</w:t>
      </w:r>
      <w:r w:rsidR="00390632" w:rsidRPr="00390632">
        <w:rPr>
          <w:sz w:val="24"/>
        </w:rPr>
        <w:t xml:space="preserve"> alla debolezza della domanda asiatica e al </w:t>
      </w:r>
      <w:r w:rsidR="00390632">
        <w:rPr>
          <w:sz w:val="24"/>
        </w:rPr>
        <w:t xml:space="preserve">generale </w:t>
      </w:r>
      <w:r w:rsidR="00390632" w:rsidRPr="00390632">
        <w:rPr>
          <w:sz w:val="24"/>
        </w:rPr>
        <w:t>calo del potere d'acquisto</w:t>
      </w:r>
      <w:r w:rsidR="00F462DF">
        <w:rPr>
          <w:sz w:val="24"/>
        </w:rPr>
        <w:t xml:space="preserve">; l’abbigliamento mostra una moderata diminuzione (-1,7%) mentre si segnala il rimbalzo positivo del calzaturiero fiorentina (+6,6%). </w:t>
      </w:r>
      <w:r w:rsidR="00BB3ED7">
        <w:rPr>
          <w:sz w:val="24"/>
        </w:rPr>
        <w:t xml:space="preserve">Da segnalare il prosieguo della buona tenuta del comparto meccanico, con una discreta tonicità delle macchine di impiego generale (+15,5%) insieme ad una contenuta variazione positiva per vini e bevande (+1,6%). </w:t>
      </w:r>
    </w:p>
    <w:p w14:paraId="6128FD25" w14:textId="4408C5BE" w:rsidR="00006E05" w:rsidRPr="006D45CD" w:rsidRDefault="00260465" w:rsidP="006013C4">
      <w:pPr>
        <w:spacing w:after="0" w:line="240" w:lineRule="auto"/>
        <w:jc w:val="both"/>
        <w:rPr>
          <w:sz w:val="24"/>
        </w:rPr>
      </w:pPr>
      <w:r w:rsidRPr="00260465">
        <w:rPr>
          <w:noProof/>
          <w:lang w:eastAsia="it-IT"/>
        </w:rPr>
        <w:drawing>
          <wp:anchor distT="0" distB="0" distL="114300" distR="114300" simplePos="0" relativeHeight="251735040" behindDoc="1" locked="0" layoutInCell="1" allowOverlap="1" wp14:anchorId="72C7A394" wp14:editId="7C2F73EC">
            <wp:simplePos x="0" y="0"/>
            <wp:positionH relativeFrom="margin">
              <wp:posOffset>2754630</wp:posOffset>
            </wp:positionH>
            <wp:positionV relativeFrom="paragraph">
              <wp:posOffset>67945</wp:posOffset>
            </wp:positionV>
            <wp:extent cx="3352800" cy="2794000"/>
            <wp:effectExtent l="0" t="0" r="0" b="6350"/>
            <wp:wrapTight wrapText="bothSides">
              <wp:wrapPolygon edited="0">
                <wp:start x="0" y="0"/>
                <wp:lineTo x="0" y="21502"/>
                <wp:lineTo x="21477" y="21502"/>
                <wp:lineTo x="21477"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279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2C7">
        <w:rPr>
          <w:sz w:val="24"/>
        </w:rPr>
        <w:t>Riguardo ai flussi di acquisti esteri</w:t>
      </w:r>
      <w:r w:rsidR="00D912E9" w:rsidRPr="006D45CD">
        <w:rPr>
          <w:sz w:val="24"/>
        </w:rPr>
        <w:t xml:space="preserve"> </w:t>
      </w:r>
      <w:r w:rsidR="00E359A7" w:rsidRPr="006D45CD">
        <w:rPr>
          <w:sz w:val="24"/>
        </w:rPr>
        <w:t>la</w:t>
      </w:r>
      <w:r w:rsidR="00D912E9" w:rsidRPr="006D45CD">
        <w:rPr>
          <w:sz w:val="24"/>
        </w:rPr>
        <w:t xml:space="preserve"> </w:t>
      </w:r>
      <w:r w:rsidR="0097441F">
        <w:rPr>
          <w:sz w:val="24"/>
        </w:rPr>
        <w:t xml:space="preserve">forte </w:t>
      </w:r>
      <w:r w:rsidR="00D912E9" w:rsidRPr="006D45CD">
        <w:rPr>
          <w:sz w:val="24"/>
        </w:rPr>
        <w:t xml:space="preserve">crescita </w:t>
      </w:r>
      <w:r w:rsidR="0097441F">
        <w:rPr>
          <w:sz w:val="24"/>
        </w:rPr>
        <w:t>consolida</w:t>
      </w:r>
      <w:r w:rsidR="001F61D1">
        <w:rPr>
          <w:sz w:val="24"/>
        </w:rPr>
        <w:t>, di fatto,</w:t>
      </w:r>
      <w:r w:rsidR="00D752C7" w:rsidRPr="00D752C7">
        <w:rPr>
          <w:sz w:val="24"/>
        </w:rPr>
        <w:t xml:space="preserve"> il </w:t>
      </w:r>
      <w:r w:rsidR="001F61D1">
        <w:rPr>
          <w:sz w:val="24"/>
        </w:rPr>
        <w:t>predominio delle attività farmaceutiche relative ai prodotti di base (quota del</w:t>
      </w:r>
      <w:r w:rsidR="0097441F">
        <w:rPr>
          <w:sz w:val="24"/>
        </w:rPr>
        <w:t xml:space="preserve"> 72</w:t>
      </w:r>
      <w:r w:rsidR="001F61D1">
        <w:rPr>
          <w:sz w:val="24"/>
        </w:rPr>
        <w:t>%</w:t>
      </w:r>
      <w:r w:rsidR="000B4F34">
        <w:rPr>
          <w:sz w:val="24"/>
        </w:rPr>
        <w:t xml:space="preserve"> gli input e del </w:t>
      </w:r>
      <w:r w:rsidR="0097441F">
        <w:rPr>
          <w:sz w:val="24"/>
        </w:rPr>
        <w:t>5,5</w:t>
      </w:r>
      <w:r w:rsidR="000B4F34">
        <w:rPr>
          <w:sz w:val="24"/>
        </w:rPr>
        <w:t xml:space="preserve">% i preparati andando a coprire </w:t>
      </w:r>
      <w:r w:rsidR="0097441F">
        <w:rPr>
          <w:sz w:val="24"/>
        </w:rPr>
        <w:t>più d</w:t>
      </w:r>
      <w:r w:rsidR="000B4F34">
        <w:rPr>
          <w:sz w:val="24"/>
        </w:rPr>
        <w:t>i tre quarti degli acquisti</w:t>
      </w:r>
      <w:r w:rsidR="0097441F">
        <w:rPr>
          <w:sz w:val="24"/>
        </w:rPr>
        <w:t xml:space="preserve">) </w:t>
      </w:r>
      <w:r w:rsidR="001F61D1">
        <w:rPr>
          <w:sz w:val="24"/>
        </w:rPr>
        <w:t xml:space="preserve">rappresentando, sostanzialmente, </w:t>
      </w:r>
      <w:r w:rsidR="00D752C7" w:rsidRPr="00D752C7">
        <w:rPr>
          <w:sz w:val="24"/>
        </w:rPr>
        <w:t>gli input chimici e biologici fondamentali per l'industria farmaceutica</w:t>
      </w:r>
      <w:r w:rsidR="000B4F34">
        <w:rPr>
          <w:sz w:val="24"/>
        </w:rPr>
        <w:t xml:space="preserve"> </w:t>
      </w:r>
      <w:r w:rsidRPr="00260465">
        <w:rPr>
          <w:sz w:val="24"/>
        </w:rPr>
        <w:t>e</w:t>
      </w:r>
      <w:r>
        <w:rPr>
          <w:sz w:val="24"/>
        </w:rPr>
        <w:t>videnziando come le</w:t>
      </w:r>
      <w:r w:rsidRPr="00260465">
        <w:rPr>
          <w:sz w:val="24"/>
        </w:rPr>
        <w:t xml:space="preserve"> aziende </w:t>
      </w:r>
      <w:r>
        <w:rPr>
          <w:sz w:val="24"/>
        </w:rPr>
        <w:t xml:space="preserve">farmaceutiche </w:t>
      </w:r>
      <w:r w:rsidRPr="00260465">
        <w:rPr>
          <w:sz w:val="24"/>
        </w:rPr>
        <w:t>import</w:t>
      </w:r>
      <w:r>
        <w:rPr>
          <w:sz w:val="24"/>
        </w:rPr>
        <w:t>i</w:t>
      </w:r>
      <w:r w:rsidRPr="00260465">
        <w:rPr>
          <w:sz w:val="24"/>
        </w:rPr>
        <w:t xml:space="preserve">no principi attivi e semilavorati in </w:t>
      </w:r>
      <w:r>
        <w:rPr>
          <w:sz w:val="24"/>
        </w:rPr>
        <w:t>ampie</w:t>
      </w:r>
      <w:r w:rsidRPr="00260465">
        <w:rPr>
          <w:sz w:val="24"/>
        </w:rPr>
        <w:t xml:space="preserve"> quantità per lavorarli</w:t>
      </w:r>
      <w:r>
        <w:rPr>
          <w:sz w:val="24"/>
        </w:rPr>
        <w:t xml:space="preserve"> </w:t>
      </w:r>
      <w:r w:rsidRPr="00260465">
        <w:rPr>
          <w:sz w:val="24"/>
        </w:rPr>
        <w:t>ed esportarli come prodott</w:t>
      </w:r>
      <w:r>
        <w:rPr>
          <w:sz w:val="24"/>
        </w:rPr>
        <w:t>i</w:t>
      </w:r>
      <w:r w:rsidRPr="00260465">
        <w:rPr>
          <w:sz w:val="24"/>
        </w:rPr>
        <w:t xml:space="preserve"> finit</w:t>
      </w:r>
      <w:r>
        <w:rPr>
          <w:sz w:val="24"/>
        </w:rPr>
        <w:t xml:space="preserve">i. Si va così a </w:t>
      </w:r>
      <w:r w:rsidR="000B4F34">
        <w:rPr>
          <w:sz w:val="24"/>
        </w:rPr>
        <w:t>defin</w:t>
      </w:r>
      <w:r>
        <w:rPr>
          <w:sz w:val="24"/>
        </w:rPr>
        <w:t>ire</w:t>
      </w:r>
      <w:r w:rsidR="000B4F34">
        <w:rPr>
          <w:sz w:val="24"/>
        </w:rPr>
        <w:t xml:space="preserve"> una</w:t>
      </w:r>
      <w:r w:rsidR="001F61D1">
        <w:rPr>
          <w:sz w:val="24"/>
        </w:rPr>
        <w:t xml:space="preserve"> </w:t>
      </w:r>
      <w:proofErr w:type="gramStart"/>
      <w:r w:rsidR="000B4F34">
        <w:rPr>
          <w:sz w:val="24"/>
        </w:rPr>
        <w:t>netta</w:t>
      </w:r>
      <w:proofErr w:type="gramEnd"/>
      <w:r w:rsidR="000B4F34">
        <w:rPr>
          <w:sz w:val="24"/>
        </w:rPr>
        <w:t xml:space="preserve"> </w:t>
      </w:r>
      <w:r w:rsidR="001F61D1" w:rsidRPr="001F61D1">
        <w:rPr>
          <w:sz w:val="24"/>
        </w:rPr>
        <w:t xml:space="preserve">dipendenza dall'estero per le materie prime e i prodotti intermedi necessari all'industria farmaceutica locale, </w:t>
      </w:r>
      <w:r w:rsidR="000B4F34">
        <w:rPr>
          <w:sz w:val="24"/>
        </w:rPr>
        <w:t>anche</w:t>
      </w:r>
      <w:r w:rsidR="001F61D1" w:rsidRPr="001F61D1">
        <w:rPr>
          <w:sz w:val="24"/>
        </w:rPr>
        <w:t xml:space="preserve"> per sostenere l'elevata produzione esportata</w:t>
      </w:r>
      <w:r w:rsidR="000B4F34">
        <w:rPr>
          <w:sz w:val="24"/>
        </w:rPr>
        <w:t xml:space="preserve">, confermando le tendenze dei precedenti trimestri e </w:t>
      </w:r>
      <w:r>
        <w:rPr>
          <w:sz w:val="24"/>
        </w:rPr>
        <w:t>confermando un</w:t>
      </w:r>
      <w:r w:rsidR="000B4F34">
        <w:rPr>
          <w:sz w:val="24"/>
        </w:rPr>
        <w:t xml:space="preserve"> forte impatto settoriale del settore farmaceutico, per la nostra provincia, </w:t>
      </w:r>
      <w:r>
        <w:rPr>
          <w:sz w:val="24"/>
        </w:rPr>
        <w:t xml:space="preserve">che </w:t>
      </w:r>
      <w:r w:rsidR="000B4F34">
        <w:rPr>
          <w:sz w:val="24"/>
        </w:rPr>
        <w:t xml:space="preserve">va anche ad “alterare” la geografia degli scambi sia riguardo alle esportazioni che alle importazioni. </w:t>
      </w:r>
      <w:r w:rsidR="000B4F34" w:rsidRPr="000B4F34">
        <w:rPr>
          <w:sz w:val="24"/>
        </w:rPr>
        <w:t xml:space="preserve">Anche in questo caso, escludendo il dato farmaceutico, il quadro cambia </w:t>
      </w:r>
      <w:r w:rsidR="000B4F34">
        <w:rPr>
          <w:sz w:val="24"/>
        </w:rPr>
        <w:t>notevolmente:</w:t>
      </w:r>
      <w:r w:rsidR="000B4F34" w:rsidRPr="000B4F34">
        <w:rPr>
          <w:sz w:val="24"/>
        </w:rPr>
        <w:t xml:space="preserve"> </w:t>
      </w:r>
      <w:r w:rsidR="000B4F34">
        <w:rPr>
          <w:sz w:val="24"/>
        </w:rPr>
        <w:t>i</w:t>
      </w:r>
      <w:r w:rsidR="000B4F34" w:rsidRPr="000B4F34">
        <w:rPr>
          <w:sz w:val="24"/>
        </w:rPr>
        <w:t xml:space="preserve">l totale delle importazioni (esclusa la farmaceutica di base) </w:t>
      </w:r>
      <w:r w:rsidR="000B4F34">
        <w:rPr>
          <w:sz w:val="24"/>
        </w:rPr>
        <w:t>aumenterebbe</w:t>
      </w:r>
      <w:r w:rsidR="000B4F34" w:rsidRPr="000B4F34">
        <w:rPr>
          <w:sz w:val="24"/>
        </w:rPr>
        <w:t xml:space="preserve"> di </w:t>
      </w:r>
      <w:r w:rsidR="000B4F34">
        <w:rPr>
          <w:sz w:val="24"/>
        </w:rPr>
        <w:t>un 2%</w:t>
      </w:r>
      <w:r>
        <w:rPr>
          <w:sz w:val="24"/>
        </w:rPr>
        <w:t xml:space="preserve"> circa</w:t>
      </w:r>
      <w:r w:rsidR="002135AB">
        <w:rPr>
          <w:sz w:val="24"/>
        </w:rPr>
        <w:t xml:space="preserve">. Per gli altri settori </w:t>
      </w:r>
      <w:r w:rsidR="003C7384">
        <w:rPr>
          <w:sz w:val="24"/>
        </w:rPr>
        <w:t>si segnala una contrazione dei prodotti del sistema moda insieme agli acquisti di oli</w:t>
      </w:r>
      <w:r>
        <w:rPr>
          <w:sz w:val="24"/>
        </w:rPr>
        <w:t xml:space="preserve"> e alle macchine </w:t>
      </w:r>
      <w:r>
        <w:rPr>
          <w:sz w:val="24"/>
        </w:rPr>
        <w:lastRenderedPageBreak/>
        <w:t>di impiego generale</w:t>
      </w:r>
      <w:r w:rsidR="003C7384">
        <w:rPr>
          <w:sz w:val="24"/>
        </w:rPr>
        <w:t xml:space="preserve"> mentre aumentano i prodotti chimici di base (+</w:t>
      </w:r>
      <w:r>
        <w:rPr>
          <w:sz w:val="24"/>
        </w:rPr>
        <w:t>33,6</w:t>
      </w:r>
      <w:r w:rsidR="003C7384">
        <w:rPr>
          <w:sz w:val="24"/>
        </w:rPr>
        <w:t>%), gli strumenti biomedicali (+</w:t>
      </w:r>
      <w:r>
        <w:rPr>
          <w:sz w:val="24"/>
        </w:rPr>
        <w:t>10,8</w:t>
      </w:r>
      <w:r w:rsidR="003C7384">
        <w:rPr>
          <w:sz w:val="24"/>
        </w:rPr>
        <w:t>%) e gli articoli in gomma (+</w:t>
      </w:r>
      <w:r>
        <w:rPr>
          <w:sz w:val="24"/>
        </w:rPr>
        <w:t>28,</w:t>
      </w:r>
      <w:r w:rsidR="003C7384">
        <w:rPr>
          <w:sz w:val="24"/>
        </w:rPr>
        <w:t xml:space="preserve">5%). </w:t>
      </w:r>
    </w:p>
    <w:p w14:paraId="410AD3ED" w14:textId="129AD680" w:rsidR="003C7384" w:rsidRDefault="003A7D79" w:rsidP="006013C4">
      <w:pPr>
        <w:spacing w:after="0" w:line="240" w:lineRule="auto"/>
        <w:jc w:val="both"/>
        <w:rPr>
          <w:sz w:val="24"/>
          <w:szCs w:val="24"/>
        </w:rPr>
      </w:pPr>
      <w:r w:rsidRPr="003A7D79">
        <w:rPr>
          <w:noProof/>
          <w:lang w:eastAsia="it-IT"/>
        </w:rPr>
        <w:drawing>
          <wp:anchor distT="0" distB="0" distL="114300" distR="114300" simplePos="0" relativeHeight="251736064" behindDoc="1" locked="0" layoutInCell="1" allowOverlap="1" wp14:anchorId="47A8F58C" wp14:editId="47BA001D">
            <wp:simplePos x="0" y="0"/>
            <wp:positionH relativeFrom="margin">
              <wp:align>left</wp:align>
            </wp:positionH>
            <wp:positionV relativeFrom="paragraph">
              <wp:posOffset>140335</wp:posOffset>
            </wp:positionV>
            <wp:extent cx="4287520" cy="2600960"/>
            <wp:effectExtent l="0" t="0" r="0" b="8890"/>
            <wp:wrapTight wrapText="bothSides">
              <wp:wrapPolygon edited="0">
                <wp:start x="0" y="0"/>
                <wp:lineTo x="0" y="21516"/>
                <wp:lineTo x="21498" y="21516"/>
                <wp:lineTo x="2149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7520" cy="260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384">
        <w:rPr>
          <w:sz w:val="24"/>
          <w:szCs w:val="24"/>
        </w:rPr>
        <w:t>G</w:t>
      </w:r>
      <w:r w:rsidR="003C7384" w:rsidRPr="003C7384">
        <w:rPr>
          <w:sz w:val="24"/>
          <w:szCs w:val="24"/>
        </w:rPr>
        <w:t xml:space="preserve">li Stati Uniti rimangono il principale mercato (quota </w:t>
      </w:r>
      <w:r w:rsidR="003C7384">
        <w:rPr>
          <w:sz w:val="24"/>
          <w:szCs w:val="24"/>
        </w:rPr>
        <w:t xml:space="preserve">del </w:t>
      </w:r>
      <w:r w:rsidR="003C7384" w:rsidRPr="003C7384">
        <w:rPr>
          <w:sz w:val="24"/>
          <w:szCs w:val="24"/>
        </w:rPr>
        <w:t>2</w:t>
      </w:r>
      <w:r w:rsidR="003C7384">
        <w:rPr>
          <w:sz w:val="24"/>
          <w:szCs w:val="24"/>
        </w:rPr>
        <w:t>3</w:t>
      </w:r>
      <w:r w:rsidR="003C7384" w:rsidRPr="003C7384">
        <w:rPr>
          <w:sz w:val="24"/>
          <w:szCs w:val="24"/>
        </w:rPr>
        <w:t xml:space="preserve">%), con una crescita </w:t>
      </w:r>
      <w:r w:rsidR="003B15EE">
        <w:rPr>
          <w:sz w:val="24"/>
          <w:szCs w:val="24"/>
        </w:rPr>
        <w:t>pari al 30</w:t>
      </w:r>
      <w:r w:rsidR="003C7384" w:rsidRPr="003C7384">
        <w:rPr>
          <w:sz w:val="24"/>
          <w:szCs w:val="24"/>
        </w:rPr>
        <w:t xml:space="preserve">% nel 2025. </w:t>
      </w:r>
      <w:r w:rsidR="003C7384">
        <w:rPr>
          <w:sz w:val="24"/>
          <w:szCs w:val="24"/>
        </w:rPr>
        <w:t xml:space="preserve">Si consolida </w:t>
      </w:r>
      <w:r w:rsidR="003C7384" w:rsidRPr="003C7384">
        <w:rPr>
          <w:sz w:val="24"/>
          <w:szCs w:val="24"/>
        </w:rPr>
        <w:t>la tendenza a massimizzare l’export verso questo mercato prima del reale arrivo dei dazi: da notare che oltre all’apporto positivo di farmaceutica</w:t>
      </w:r>
      <w:r w:rsidR="00F50E5C">
        <w:rPr>
          <w:sz w:val="24"/>
          <w:szCs w:val="24"/>
        </w:rPr>
        <w:t xml:space="preserve"> e </w:t>
      </w:r>
      <w:r w:rsidR="003C7384" w:rsidRPr="003C7384">
        <w:rPr>
          <w:sz w:val="24"/>
          <w:szCs w:val="24"/>
        </w:rPr>
        <w:t xml:space="preserve">meccanica e vini si segnala la crescita delle calzature </w:t>
      </w:r>
      <w:r w:rsidR="00F50E5C">
        <w:rPr>
          <w:sz w:val="24"/>
          <w:szCs w:val="24"/>
        </w:rPr>
        <w:t>e</w:t>
      </w:r>
      <w:r w:rsidR="00D86601">
        <w:rPr>
          <w:sz w:val="24"/>
          <w:szCs w:val="24"/>
        </w:rPr>
        <w:t xml:space="preserve"> della</w:t>
      </w:r>
      <w:r w:rsidR="003C7384" w:rsidRPr="003C7384">
        <w:rPr>
          <w:sz w:val="24"/>
          <w:szCs w:val="24"/>
        </w:rPr>
        <w:t xml:space="preserve"> pelletteria per il mercato statunitense</w:t>
      </w:r>
      <w:r w:rsidR="00F50E5C">
        <w:rPr>
          <w:sz w:val="24"/>
          <w:szCs w:val="24"/>
        </w:rPr>
        <w:t>; in moderata attenuazione il settore dei vini</w:t>
      </w:r>
      <w:r w:rsidR="00620CCF">
        <w:rPr>
          <w:sz w:val="24"/>
          <w:szCs w:val="24"/>
        </w:rPr>
        <w:t>. Anche la crescita degli altri p</w:t>
      </w:r>
      <w:r w:rsidR="00F50E5C">
        <w:rPr>
          <w:sz w:val="24"/>
          <w:szCs w:val="24"/>
        </w:rPr>
        <w:t>rincipali</w:t>
      </w:r>
      <w:r w:rsidR="00620CCF">
        <w:rPr>
          <w:sz w:val="24"/>
          <w:szCs w:val="24"/>
        </w:rPr>
        <w:t xml:space="preserve"> mercati è esclusivamente alimentata dal comparto farmaceutico</w:t>
      </w:r>
      <w:r w:rsidR="00F50E5C">
        <w:rPr>
          <w:sz w:val="24"/>
          <w:szCs w:val="24"/>
        </w:rPr>
        <w:t xml:space="preserve"> (Francia, Spagna, Regno Unito e Irlanda in particolare)</w:t>
      </w:r>
      <w:r w:rsidR="00620CCF">
        <w:rPr>
          <w:sz w:val="24"/>
          <w:szCs w:val="24"/>
        </w:rPr>
        <w:t>, in quanto fra tutti spiccano</w:t>
      </w:r>
      <w:r w:rsidR="00F50E5C">
        <w:rPr>
          <w:sz w:val="24"/>
          <w:szCs w:val="24"/>
        </w:rPr>
        <w:t xml:space="preserve"> la Francia e</w:t>
      </w:r>
      <w:r w:rsidR="00620CCF">
        <w:rPr>
          <w:sz w:val="24"/>
          <w:szCs w:val="24"/>
        </w:rPr>
        <w:t xml:space="preserve"> la Spagna la cui quota è balzata al 1</w:t>
      </w:r>
      <w:r w:rsidR="00F50E5C">
        <w:rPr>
          <w:sz w:val="24"/>
          <w:szCs w:val="24"/>
        </w:rPr>
        <w:t>9</w:t>
      </w:r>
      <w:r w:rsidR="00620CCF">
        <w:rPr>
          <w:sz w:val="24"/>
          <w:szCs w:val="24"/>
        </w:rPr>
        <w:t>,</w:t>
      </w:r>
      <w:r w:rsidR="00F50E5C">
        <w:rPr>
          <w:sz w:val="24"/>
          <w:szCs w:val="24"/>
        </w:rPr>
        <w:t>4</w:t>
      </w:r>
      <w:r w:rsidR="00620CCF">
        <w:rPr>
          <w:sz w:val="24"/>
          <w:szCs w:val="24"/>
        </w:rPr>
        <w:t>%</w:t>
      </w:r>
      <w:r w:rsidR="00F50E5C">
        <w:rPr>
          <w:sz w:val="24"/>
          <w:szCs w:val="24"/>
        </w:rPr>
        <w:t xml:space="preserve"> e al 10,9%</w:t>
      </w:r>
      <w:r w:rsidR="00620CCF">
        <w:rPr>
          <w:sz w:val="24"/>
          <w:szCs w:val="24"/>
        </w:rPr>
        <w:t xml:space="preserve">. </w:t>
      </w:r>
      <w:r w:rsidR="00281D6E">
        <w:rPr>
          <w:sz w:val="24"/>
          <w:szCs w:val="24"/>
        </w:rPr>
        <w:t>Sempre il ruolo del farmaceutico spiega</w:t>
      </w:r>
      <w:r w:rsidR="007D6516">
        <w:rPr>
          <w:sz w:val="24"/>
          <w:szCs w:val="24"/>
        </w:rPr>
        <w:t xml:space="preserve"> </w:t>
      </w:r>
      <w:r w:rsidR="00620CCF">
        <w:rPr>
          <w:sz w:val="24"/>
          <w:szCs w:val="24"/>
        </w:rPr>
        <w:t>l’esponenziale aumento dell</w:t>
      </w:r>
      <w:r w:rsidR="00281D6E">
        <w:rPr>
          <w:sz w:val="24"/>
          <w:szCs w:val="24"/>
        </w:rPr>
        <w:t xml:space="preserve">e esportazioni in Irlanda. </w:t>
      </w:r>
    </w:p>
    <w:p w14:paraId="0F4BA1A8" w14:textId="0A8257FB" w:rsidR="00C74CC1" w:rsidRDefault="00DB160A" w:rsidP="006013C4">
      <w:pPr>
        <w:spacing w:after="0" w:line="240" w:lineRule="auto"/>
        <w:jc w:val="both"/>
        <w:rPr>
          <w:sz w:val="24"/>
          <w:szCs w:val="24"/>
        </w:rPr>
      </w:pPr>
      <w:r w:rsidRPr="00DB160A">
        <w:rPr>
          <w:noProof/>
          <w:lang w:eastAsia="it-IT"/>
        </w:rPr>
        <w:drawing>
          <wp:anchor distT="0" distB="0" distL="114300" distR="114300" simplePos="0" relativeHeight="251737088" behindDoc="1" locked="0" layoutInCell="1" allowOverlap="1" wp14:anchorId="51CE8813" wp14:editId="73377853">
            <wp:simplePos x="0" y="0"/>
            <wp:positionH relativeFrom="margin">
              <wp:align>right</wp:align>
            </wp:positionH>
            <wp:positionV relativeFrom="paragraph">
              <wp:posOffset>304165</wp:posOffset>
            </wp:positionV>
            <wp:extent cx="3627120" cy="2550160"/>
            <wp:effectExtent l="0" t="0" r="0" b="2540"/>
            <wp:wrapTight wrapText="bothSides">
              <wp:wrapPolygon edited="0">
                <wp:start x="0" y="0"/>
                <wp:lineTo x="0" y="21460"/>
                <wp:lineTo x="21441" y="21460"/>
                <wp:lineTo x="21441"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7120" cy="2550160"/>
                    </a:xfrm>
                    <a:prstGeom prst="rect">
                      <a:avLst/>
                    </a:prstGeom>
                    <a:noFill/>
                    <a:ln>
                      <a:noFill/>
                    </a:ln>
                  </pic:spPr>
                </pic:pic>
              </a:graphicData>
            </a:graphic>
            <wp14:sizeRelH relativeFrom="page">
              <wp14:pctWidth>0</wp14:pctWidth>
            </wp14:sizeRelH>
            <wp14:sizeRelV relativeFrom="page">
              <wp14:pctHeight>0</wp14:pctHeight>
            </wp14:sizeRelV>
          </wp:anchor>
        </w:drawing>
      </w:r>
      <w:r w:rsidR="00281D6E" w:rsidRPr="00281D6E">
        <w:rPr>
          <w:sz w:val="24"/>
          <w:szCs w:val="24"/>
        </w:rPr>
        <w:t xml:space="preserve">Considerando </w:t>
      </w:r>
      <w:r w:rsidR="00281D6E">
        <w:rPr>
          <w:sz w:val="24"/>
          <w:szCs w:val="24"/>
        </w:rPr>
        <w:t>gli acquisti da</w:t>
      </w:r>
      <w:r w:rsidR="00281D6E" w:rsidRPr="00281D6E">
        <w:rPr>
          <w:sz w:val="24"/>
          <w:szCs w:val="24"/>
        </w:rPr>
        <w:t>i principali paesi partner segnaliamo</w:t>
      </w:r>
      <w:r w:rsidR="00281D6E">
        <w:rPr>
          <w:sz w:val="24"/>
          <w:szCs w:val="24"/>
        </w:rPr>
        <w:t xml:space="preserve"> e confermiamo</w:t>
      </w:r>
      <w:r w:rsidR="00281D6E" w:rsidRPr="00281D6E">
        <w:rPr>
          <w:sz w:val="24"/>
          <w:szCs w:val="24"/>
        </w:rPr>
        <w:t xml:space="preserve"> come </w:t>
      </w:r>
      <w:r>
        <w:rPr>
          <w:sz w:val="24"/>
          <w:szCs w:val="24"/>
        </w:rPr>
        <w:t xml:space="preserve">gli Stati Uniti e </w:t>
      </w:r>
      <w:r w:rsidR="00281D6E" w:rsidRPr="00281D6E">
        <w:rPr>
          <w:sz w:val="24"/>
          <w:szCs w:val="24"/>
        </w:rPr>
        <w:t xml:space="preserve">la Cina </w:t>
      </w:r>
      <w:r>
        <w:rPr>
          <w:sz w:val="24"/>
          <w:szCs w:val="24"/>
        </w:rPr>
        <w:t>tendano a prevalere</w:t>
      </w:r>
      <w:r w:rsidR="00281D6E" w:rsidRPr="00281D6E">
        <w:rPr>
          <w:sz w:val="24"/>
          <w:szCs w:val="24"/>
        </w:rPr>
        <w:t xml:space="preserve">, rappresentando </w:t>
      </w:r>
      <w:r>
        <w:rPr>
          <w:sz w:val="24"/>
          <w:szCs w:val="24"/>
        </w:rPr>
        <w:t>oltre il 60</w:t>
      </w:r>
      <w:r w:rsidR="00281D6E" w:rsidRPr="00281D6E">
        <w:rPr>
          <w:sz w:val="24"/>
          <w:szCs w:val="24"/>
        </w:rPr>
        <w:t>% del totale</w:t>
      </w:r>
      <w:r w:rsidR="00281D6E">
        <w:rPr>
          <w:sz w:val="24"/>
          <w:szCs w:val="24"/>
        </w:rPr>
        <w:t>, sempre per effetto de</w:t>
      </w:r>
      <w:r w:rsidR="00281D6E" w:rsidRPr="00281D6E">
        <w:rPr>
          <w:sz w:val="24"/>
          <w:szCs w:val="24"/>
        </w:rPr>
        <w:t xml:space="preserve">l ruolo del farmaceutico anche negli acquisti di input </w:t>
      </w:r>
      <w:r w:rsidR="00D024B9">
        <w:rPr>
          <w:sz w:val="24"/>
          <w:szCs w:val="24"/>
        </w:rPr>
        <w:t>s</w:t>
      </w:r>
      <w:r>
        <w:rPr>
          <w:sz w:val="24"/>
          <w:szCs w:val="24"/>
        </w:rPr>
        <w:t>u entrambi i mercati</w:t>
      </w:r>
      <w:r w:rsidR="00281D6E" w:rsidRPr="00281D6E">
        <w:rPr>
          <w:sz w:val="24"/>
          <w:szCs w:val="24"/>
        </w:rPr>
        <w:t xml:space="preserve">. </w:t>
      </w:r>
      <w:r w:rsidR="00D024B9">
        <w:rPr>
          <w:sz w:val="24"/>
          <w:szCs w:val="24"/>
        </w:rPr>
        <w:t>Da segnalare che gli acquisti di input farmaceutici sul mercato cinese ammontano a un totale di</w:t>
      </w:r>
      <w:r w:rsidR="00FA64C4">
        <w:rPr>
          <w:sz w:val="24"/>
          <w:szCs w:val="24"/>
        </w:rPr>
        <w:t xml:space="preserve"> 6,1</w:t>
      </w:r>
      <w:r w:rsidR="00D024B9">
        <w:rPr>
          <w:sz w:val="24"/>
          <w:szCs w:val="24"/>
        </w:rPr>
        <w:t xml:space="preserve"> miliardi di euro</w:t>
      </w:r>
      <w:r w:rsidR="008F76BC">
        <w:rPr>
          <w:sz w:val="24"/>
          <w:szCs w:val="24"/>
        </w:rPr>
        <w:t>,</w:t>
      </w:r>
      <w:r w:rsidR="00D024B9">
        <w:rPr>
          <w:sz w:val="24"/>
          <w:szCs w:val="24"/>
        </w:rPr>
        <w:t xml:space="preserve"> mentre dagli Stati Uniti </w:t>
      </w:r>
      <w:r w:rsidR="008F76BC">
        <w:rPr>
          <w:sz w:val="24"/>
          <w:szCs w:val="24"/>
        </w:rPr>
        <w:t xml:space="preserve">a </w:t>
      </w:r>
      <w:r w:rsidR="00FA64C4">
        <w:rPr>
          <w:sz w:val="24"/>
          <w:szCs w:val="24"/>
        </w:rPr>
        <w:t>8,4</w:t>
      </w:r>
      <w:r w:rsidR="00D024B9">
        <w:rPr>
          <w:sz w:val="24"/>
          <w:szCs w:val="24"/>
        </w:rPr>
        <w:t xml:space="preserve"> miliardi di euro</w:t>
      </w:r>
      <w:r w:rsidR="009A4D61">
        <w:rPr>
          <w:sz w:val="24"/>
          <w:szCs w:val="24"/>
        </w:rPr>
        <w:t xml:space="preserve"> e 1,</w:t>
      </w:r>
      <w:r w:rsidR="00FA64C4">
        <w:rPr>
          <w:sz w:val="24"/>
          <w:szCs w:val="24"/>
        </w:rPr>
        <w:t>8</w:t>
      </w:r>
      <w:r w:rsidR="009A4D61">
        <w:rPr>
          <w:sz w:val="24"/>
          <w:szCs w:val="24"/>
        </w:rPr>
        <w:t xml:space="preserve"> miliardi dall’Irlanda ragionando in valori assoluti. In aumento anche Francia, </w:t>
      </w:r>
      <w:r>
        <w:rPr>
          <w:sz w:val="24"/>
          <w:szCs w:val="24"/>
        </w:rPr>
        <w:t xml:space="preserve">e </w:t>
      </w:r>
      <w:r w:rsidR="009A4D61">
        <w:rPr>
          <w:sz w:val="24"/>
          <w:szCs w:val="24"/>
        </w:rPr>
        <w:t xml:space="preserve">Germania mentre calano </w:t>
      </w:r>
      <w:r>
        <w:rPr>
          <w:sz w:val="24"/>
          <w:szCs w:val="24"/>
        </w:rPr>
        <w:t xml:space="preserve">Paesi Bassi, </w:t>
      </w:r>
      <w:r w:rsidR="009A4D61">
        <w:rPr>
          <w:sz w:val="24"/>
          <w:szCs w:val="24"/>
        </w:rPr>
        <w:t xml:space="preserve">Spagna, Svizzera e Belgio; modesta la variazione di quanto importato dall’India. </w:t>
      </w:r>
    </w:p>
    <w:p w14:paraId="2C707047" w14:textId="0137B3F6" w:rsidR="00F46195" w:rsidRDefault="00D1356B" w:rsidP="00F46195">
      <w:pPr>
        <w:spacing w:after="0" w:line="240" w:lineRule="auto"/>
        <w:jc w:val="both"/>
        <w:rPr>
          <w:sz w:val="24"/>
          <w:szCs w:val="24"/>
        </w:rPr>
      </w:pPr>
      <w:bookmarkStart w:id="3" w:name="_Hlk216350908"/>
      <w:r>
        <w:rPr>
          <w:sz w:val="24"/>
          <w:szCs w:val="24"/>
        </w:rPr>
        <w:t>Le</w:t>
      </w:r>
      <w:r w:rsidRPr="00D1356B">
        <w:rPr>
          <w:sz w:val="24"/>
          <w:szCs w:val="24"/>
        </w:rPr>
        <w:t xml:space="preserve"> </w:t>
      </w:r>
      <w:r>
        <w:rPr>
          <w:sz w:val="24"/>
          <w:szCs w:val="24"/>
        </w:rPr>
        <w:t xml:space="preserve">criticità </w:t>
      </w:r>
      <w:r w:rsidRPr="00D1356B">
        <w:rPr>
          <w:sz w:val="24"/>
          <w:szCs w:val="24"/>
        </w:rPr>
        <w:t>di natura geopolitica e</w:t>
      </w:r>
      <w:r>
        <w:rPr>
          <w:sz w:val="24"/>
          <w:szCs w:val="24"/>
        </w:rPr>
        <w:t xml:space="preserve"> </w:t>
      </w:r>
      <w:r w:rsidRPr="00D1356B">
        <w:rPr>
          <w:sz w:val="24"/>
          <w:szCs w:val="24"/>
        </w:rPr>
        <w:t>i cambiamenti nelle regole del commercio internazionale</w:t>
      </w:r>
      <w:r>
        <w:rPr>
          <w:sz w:val="24"/>
          <w:szCs w:val="24"/>
        </w:rPr>
        <w:t>, con la svolta nella politica commerciale statunitense, i</w:t>
      </w:r>
      <w:r w:rsidRPr="00D1356B">
        <w:rPr>
          <w:sz w:val="24"/>
          <w:szCs w:val="24"/>
        </w:rPr>
        <w:t>nteressano</w:t>
      </w:r>
      <w:r>
        <w:rPr>
          <w:sz w:val="24"/>
          <w:szCs w:val="24"/>
        </w:rPr>
        <w:t xml:space="preserve"> principalmente le economie dell’Area Euro, Italia compresa, portando ad una perdita di competitività se aggiungiamo anche l’apprezzamento del cambio dell’euro</w:t>
      </w:r>
      <w:r w:rsidR="00C74CC1">
        <w:rPr>
          <w:sz w:val="24"/>
          <w:szCs w:val="24"/>
        </w:rPr>
        <w:t>.</w:t>
      </w:r>
      <w:r w:rsidR="00D73010" w:rsidRPr="00D73010">
        <w:rPr>
          <w:sz w:val="24"/>
          <w:szCs w:val="24"/>
        </w:rPr>
        <w:t xml:space="preserve"> </w:t>
      </w:r>
      <w:r w:rsidR="00C74CC1">
        <w:rPr>
          <w:sz w:val="24"/>
          <w:szCs w:val="24"/>
        </w:rPr>
        <w:t>Chiaramente l</w:t>
      </w:r>
      <w:r w:rsidR="009A6C0F" w:rsidRPr="009A6C0F">
        <w:rPr>
          <w:sz w:val="24"/>
          <w:szCs w:val="24"/>
        </w:rPr>
        <w:t xml:space="preserve">a posizione competitiva dei </w:t>
      </w:r>
      <w:r w:rsidR="00C74CC1">
        <w:rPr>
          <w:sz w:val="24"/>
          <w:szCs w:val="24"/>
        </w:rPr>
        <w:t>p</w:t>
      </w:r>
      <w:r w:rsidR="009A6C0F" w:rsidRPr="009A6C0F">
        <w:rPr>
          <w:sz w:val="24"/>
          <w:szCs w:val="24"/>
        </w:rPr>
        <w:t>aesi europei</w:t>
      </w:r>
      <w:r w:rsidR="00C74CC1">
        <w:rPr>
          <w:sz w:val="24"/>
          <w:szCs w:val="24"/>
        </w:rPr>
        <w:t xml:space="preserve"> viene resa difficile</w:t>
      </w:r>
      <w:r w:rsidR="009A6C0F" w:rsidRPr="009A6C0F">
        <w:rPr>
          <w:sz w:val="24"/>
          <w:szCs w:val="24"/>
        </w:rPr>
        <w:t xml:space="preserve"> </w:t>
      </w:r>
      <w:r w:rsidR="00C74CC1">
        <w:rPr>
          <w:sz w:val="24"/>
          <w:szCs w:val="24"/>
        </w:rPr>
        <w:t xml:space="preserve">non solo a seguito </w:t>
      </w:r>
      <w:r w:rsidR="009A6C0F" w:rsidRPr="009A6C0F">
        <w:rPr>
          <w:sz w:val="24"/>
          <w:szCs w:val="24"/>
        </w:rPr>
        <w:t>d</w:t>
      </w:r>
      <w:r w:rsidR="00C74CC1">
        <w:rPr>
          <w:sz w:val="24"/>
          <w:szCs w:val="24"/>
        </w:rPr>
        <w:t>e</w:t>
      </w:r>
      <w:r w:rsidR="009A6C0F" w:rsidRPr="009A6C0F">
        <w:rPr>
          <w:sz w:val="24"/>
          <w:szCs w:val="24"/>
        </w:rPr>
        <w:t>gli impatti diretti dei dazi Usa sui</w:t>
      </w:r>
      <w:r w:rsidR="00C74CC1">
        <w:rPr>
          <w:sz w:val="24"/>
          <w:szCs w:val="24"/>
        </w:rPr>
        <w:t xml:space="preserve"> </w:t>
      </w:r>
      <w:r w:rsidR="009A6C0F" w:rsidRPr="009A6C0F">
        <w:rPr>
          <w:sz w:val="24"/>
          <w:szCs w:val="24"/>
        </w:rPr>
        <w:t xml:space="preserve">settori esportatori, </w:t>
      </w:r>
      <w:r w:rsidR="00C74CC1">
        <w:rPr>
          <w:sz w:val="24"/>
          <w:szCs w:val="24"/>
        </w:rPr>
        <w:t xml:space="preserve">ma anche considerando </w:t>
      </w:r>
      <w:r w:rsidR="009A6C0F" w:rsidRPr="009A6C0F">
        <w:rPr>
          <w:sz w:val="24"/>
          <w:szCs w:val="24"/>
        </w:rPr>
        <w:t>gli effetti più generali legati alla</w:t>
      </w:r>
      <w:r w:rsidR="00C74CC1">
        <w:rPr>
          <w:sz w:val="24"/>
          <w:szCs w:val="24"/>
        </w:rPr>
        <w:t xml:space="preserve"> </w:t>
      </w:r>
      <w:r w:rsidR="009A6C0F" w:rsidRPr="009A6C0F">
        <w:rPr>
          <w:sz w:val="24"/>
          <w:szCs w:val="24"/>
        </w:rPr>
        <w:t>pressione competitiva su tutti i mercati, compreso quello</w:t>
      </w:r>
      <w:r w:rsidR="00C74CC1">
        <w:rPr>
          <w:sz w:val="24"/>
          <w:szCs w:val="24"/>
        </w:rPr>
        <w:t xml:space="preserve"> </w:t>
      </w:r>
      <w:r w:rsidR="009A6C0F" w:rsidRPr="009A6C0F">
        <w:rPr>
          <w:sz w:val="24"/>
          <w:szCs w:val="24"/>
        </w:rPr>
        <w:t>europeo</w:t>
      </w:r>
      <w:r w:rsidR="00C74CC1">
        <w:rPr>
          <w:sz w:val="24"/>
          <w:szCs w:val="24"/>
        </w:rPr>
        <w:t xml:space="preserve"> (</w:t>
      </w:r>
      <w:proofErr w:type="spellStart"/>
      <w:r w:rsidR="00C74CC1" w:rsidRPr="00C74CC1">
        <w:rPr>
          <w:i/>
          <w:iCs/>
          <w:sz w:val="24"/>
          <w:szCs w:val="24"/>
        </w:rPr>
        <w:t>trade</w:t>
      </w:r>
      <w:proofErr w:type="spellEnd"/>
      <w:r w:rsidR="00C74CC1" w:rsidRPr="00C74CC1">
        <w:rPr>
          <w:i/>
          <w:iCs/>
          <w:sz w:val="24"/>
          <w:szCs w:val="24"/>
        </w:rPr>
        <w:t xml:space="preserve"> </w:t>
      </w:r>
      <w:proofErr w:type="spellStart"/>
      <w:r w:rsidR="00C74CC1" w:rsidRPr="00C74CC1">
        <w:rPr>
          <w:i/>
          <w:iCs/>
          <w:sz w:val="24"/>
          <w:szCs w:val="24"/>
        </w:rPr>
        <w:t>diversion</w:t>
      </w:r>
      <w:proofErr w:type="spellEnd"/>
      <w:r w:rsidR="00C74CC1">
        <w:rPr>
          <w:sz w:val="24"/>
          <w:szCs w:val="24"/>
        </w:rPr>
        <w:t>); per quest’ultimo il rischio di</w:t>
      </w:r>
      <w:r w:rsidR="009A6C0F" w:rsidRPr="009A6C0F">
        <w:rPr>
          <w:sz w:val="24"/>
          <w:szCs w:val="24"/>
        </w:rPr>
        <w:t xml:space="preserve"> </w:t>
      </w:r>
      <w:r w:rsidR="00C74CC1">
        <w:rPr>
          <w:sz w:val="24"/>
          <w:szCs w:val="24"/>
        </w:rPr>
        <w:t xml:space="preserve">essere </w:t>
      </w:r>
      <w:r w:rsidR="009A6C0F" w:rsidRPr="009A6C0F">
        <w:rPr>
          <w:sz w:val="24"/>
          <w:szCs w:val="24"/>
        </w:rPr>
        <w:t>esposto alla concorrenza di prezzo dei</w:t>
      </w:r>
      <w:r w:rsidR="00C74CC1">
        <w:rPr>
          <w:sz w:val="24"/>
          <w:szCs w:val="24"/>
        </w:rPr>
        <w:t xml:space="preserve"> </w:t>
      </w:r>
      <w:r w:rsidR="009A6C0F" w:rsidRPr="009A6C0F">
        <w:rPr>
          <w:sz w:val="24"/>
          <w:szCs w:val="24"/>
        </w:rPr>
        <w:t>prodotti a basso prezzo provenienti dai Paesi asiatici</w:t>
      </w:r>
      <w:r w:rsidR="00C74CC1">
        <w:rPr>
          <w:sz w:val="24"/>
          <w:szCs w:val="24"/>
        </w:rPr>
        <w:t xml:space="preserve"> è elevato</w:t>
      </w:r>
      <w:r w:rsidR="001F70E6">
        <w:rPr>
          <w:sz w:val="24"/>
          <w:szCs w:val="24"/>
        </w:rPr>
        <w:t xml:space="preserve">. </w:t>
      </w:r>
      <w:r w:rsidR="00F46195" w:rsidRPr="00F46195">
        <w:rPr>
          <w:sz w:val="24"/>
          <w:szCs w:val="24"/>
        </w:rPr>
        <w:t xml:space="preserve">Una </w:t>
      </w:r>
      <w:r w:rsidR="001F70E6">
        <w:rPr>
          <w:sz w:val="24"/>
          <w:szCs w:val="24"/>
        </w:rPr>
        <w:t xml:space="preserve">futura </w:t>
      </w:r>
      <w:r w:rsidR="00F46195" w:rsidRPr="00F46195">
        <w:rPr>
          <w:sz w:val="24"/>
          <w:szCs w:val="24"/>
        </w:rPr>
        <w:t xml:space="preserve">fase di </w:t>
      </w:r>
      <w:r w:rsidR="001F70E6">
        <w:rPr>
          <w:sz w:val="24"/>
          <w:szCs w:val="24"/>
        </w:rPr>
        <w:t>rallentamento</w:t>
      </w:r>
      <w:r w:rsidR="00F46195" w:rsidRPr="00F46195">
        <w:rPr>
          <w:sz w:val="24"/>
          <w:szCs w:val="24"/>
        </w:rPr>
        <w:t xml:space="preserve"> delle esportazioni </w:t>
      </w:r>
      <w:r w:rsidR="001F70E6">
        <w:rPr>
          <w:sz w:val="24"/>
          <w:szCs w:val="24"/>
        </w:rPr>
        <w:t xml:space="preserve">rischia di accentuare </w:t>
      </w:r>
      <w:r w:rsidR="00F46195" w:rsidRPr="00F46195">
        <w:rPr>
          <w:sz w:val="24"/>
          <w:szCs w:val="24"/>
        </w:rPr>
        <w:t xml:space="preserve">le </w:t>
      </w:r>
      <w:r w:rsidR="001F70E6">
        <w:rPr>
          <w:sz w:val="24"/>
          <w:szCs w:val="24"/>
        </w:rPr>
        <w:t>criticità</w:t>
      </w:r>
      <w:r w:rsidR="00F46195" w:rsidRPr="00F46195">
        <w:rPr>
          <w:sz w:val="24"/>
          <w:szCs w:val="24"/>
        </w:rPr>
        <w:t>, in particolare dei settori</w:t>
      </w:r>
      <w:r w:rsidR="001F70E6">
        <w:rPr>
          <w:sz w:val="24"/>
          <w:szCs w:val="24"/>
        </w:rPr>
        <w:t xml:space="preserve"> </w:t>
      </w:r>
      <w:r w:rsidR="00F46195" w:rsidRPr="00F46195">
        <w:rPr>
          <w:sz w:val="24"/>
          <w:szCs w:val="24"/>
        </w:rPr>
        <w:lastRenderedPageBreak/>
        <w:t>manifatturieri più legati al traino della domanda estera,</w:t>
      </w:r>
      <w:r w:rsidR="001F70E6">
        <w:rPr>
          <w:sz w:val="24"/>
          <w:szCs w:val="24"/>
        </w:rPr>
        <w:t xml:space="preserve"> influenzando in termini negativi </w:t>
      </w:r>
      <w:r w:rsidR="00F46195" w:rsidRPr="00F46195">
        <w:rPr>
          <w:sz w:val="24"/>
          <w:szCs w:val="24"/>
        </w:rPr>
        <w:t>le prospettive per gli investimenti.</w:t>
      </w:r>
    </w:p>
    <w:p w14:paraId="0B05CC5E" w14:textId="21B93F0E" w:rsidR="00D1356B" w:rsidRPr="00A32835" w:rsidRDefault="001F70E6" w:rsidP="00D1356B">
      <w:pPr>
        <w:spacing w:after="0" w:line="240" w:lineRule="auto"/>
        <w:jc w:val="both"/>
        <w:rPr>
          <w:sz w:val="24"/>
          <w:szCs w:val="24"/>
        </w:rPr>
      </w:pPr>
      <w:r>
        <w:rPr>
          <w:sz w:val="24"/>
          <w:szCs w:val="24"/>
        </w:rPr>
        <w:t xml:space="preserve">Come precisato oltre alla differente contestualizzazione delle relazioni commerciali internazionali, l’apprezzamento del cambio dell’euro rischia di rappresentare un problema se consideriamo che </w:t>
      </w:r>
      <w:r w:rsidR="00AE3DD2" w:rsidRPr="00AE3DD2">
        <w:rPr>
          <w:sz w:val="24"/>
          <w:szCs w:val="24"/>
        </w:rPr>
        <w:t>, i prezzi internazionali dei</w:t>
      </w:r>
      <w:r w:rsidR="00AE3DD2">
        <w:rPr>
          <w:sz w:val="24"/>
          <w:szCs w:val="24"/>
        </w:rPr>
        <w:t xml:space="preserve"> prodotti manifatturieri (compresi input e intermedi) </w:t>
      </w:r>
      <w:r w:rsidR="00AE3DD2" w:rsidRPr="00AE3DD2">
        <w:rPr>
          <w:sz w:val="24"/>
          <w:szCs w:val="24"/>
        </w:rPr>
        <w:t xml:space="preserve">espressi in euro </w:t>
      </w:r>
      <w:r w:rsidR="00AE3DD2">
        <w:rPr>
          <w:sz w:val="24"/>
          <w:szCs w:val="24"/>
        </w:rPr>
        <w:t>stanno diminuendo</w:t>
      </w:r>
      <w:r w:rsidR="00AE3DD2" w:rsidRPr="00AE3DD2">
        <w:rPr>
          <w:sz w:val="24"/>
          <w:szCs w:val="24"/>
        </w:rPr>
        <w:t xml:space="preserve">, </w:t>
      </w:r>
      <w:r w:rsidR="00AE3DD2">
        <w:rPr>
          <w:sz w:val="24"/>
          <w:szCs w:val="24"/>
        </w:rPr>
        <w:t xml:space="preserve">aumentando così la convenienza dei prodotti </w:t>
      </w:r>
      <w:r w:rsidR="00AE3DD2" w:rsidRPr="00AE3DD2">
        <w:rPr>
          <w:sz w:val="24"/>
          <w:szCs w:val="24"/>
        </w:rPr>
        <w:t>provenienti dai mercati esteri:</w:t>
      </w:r>
      <w:r w:rsidR="00EA5FBC">
        <w:rPr>
          <w:sz w:val="24"/>
          <w:szCs w:val="24"/>
        </w:rPr>
        <w:t xml:space="preserve"> </w:t>
      </w:r>
      <w:r w:rsidR="00AE3DD2" w:rsidRPr="00AE3DD2">
        <w:rPr>
          <w:sz w:val="24"/>
          <w:szCs w:val="24"/>
        </w:rPr>
        <w:t xml:space="preserve">nei prossimi </w:t>
      </w:r>
      <w:r w:rsidR="00EA5FBC">
        <w:rPr>
          <w:sz w:val="24"/>
          <w:szCs w:val="24"/>
        </w:rPr>
        <w:t xml:space="preserve">emergerà, quindi, una certa difficoltà </w:t>
      </w:r>
      <w:r w:rsidR="00AE3DD2" w:rsidRPr="00AE3DD2">
        <w:rPr>
          <w:sz w:val="24"/>
          <w:szCs w:val="24"/>
        </w:rPr>
        <w:t>ad</w:t>
      </w:r>
      <w:r w:rsidR="00EA5FBC">
        <w:rPr>
          <w:sz w:val="24"/>
          <w:szCs w:val="24"/>
        </w:rPr>
        <w:t xml:space="preserve"> </w:t>
      </w:r>
      <w:r w:rsidR="00AE3DD2" w:rsidRPr="00AE3DD2">
        <w:rPr>
          <w:sz w:val="24"/>
          <w:szCs w:val="24"/>
        </w:rPr>
        <w:t xml:space="preserve">esportare </w:t>
      </w:r>
      <w:r w:rsidR="00EA5FBC">
        <w:rPr>
          <w:sz w:val="24"/>
          <w:szCs w:val="24"/>
        </w:rPr>
        <w:t>oltre il continente europeo</w:t>
      </w:r>
      <w:r w:rsidR="00AE3DD2" w:rsidRPr="00AE3DD2">
        <w:rPr>
          <w:sz w:val="24"/>
          <w:szCs w:val="24"/>
        </w:rPr>
        <w:t xml:space="preserve">, </w:t>
      </w:r>
      <w:r w:rsidR="00EA5FBC">
        <w:rPr>
          <w:sz w:val="24"/>
          <w:szCs w:val="24"/>
        </w:rPr>
        <w:t xml:space="preserve">come </w:t>
      </w:r>
      <w:r w:rsidR="00AE3DD2" w:rsidRPr="00AE3DD2">
        <w:rPr>
          <w:sz w:val="24"/>
          <w:szCs w:val="24"/>
        </w:rPr>
        <w:t>anche la maggior</w:t>
      </w:r>
      <w:r w:rsidR="00EA5FBC">
        <w:rPr>
          <w:sz w:val="24"/>
          <w:szCs w:val="24"/>
        </w:rPr>
        <w:t xml:space="preserve"> </w:t>
      </w:r>
      <w:r w:rsidR="00AE3DD2" w:rsidRPr="00AE3DD2">
        <w:rPr>
          <w:sz w:val="24"/>
          <w:szCs w:val="24"/>
        </w:rPr>
        <w:t>concorrenz</w:t>
      </w:r>
      <w:r w:rsidR="00EA5FBC">
        <w:rPr>
          <w:sz w:val="24"/>
          <w:szCs w:val="24"/>
        </w:rPr>
        <w:t xml:space="preserve">a esercitata dai prodotti importati </w:t>
      </w:r>
      <w:r w:rsidR="00AE3DD2" w:rsidRPr="00AE3DD2">
        <w:rPr>
          <w:sz w:val="24"/>
          <w:szCs w:val="24"/>
        </w:rPr>
        <w:t>da altre</w:t>
      </w:r>
      <w:r w:rsidR="00EA5FBC">
        <w:rPr>
          <w:sz w:val="24"/>
          <w:szCs w:val="24"/>
        </w:rPr>
        <w:t xml:space="preserve"> </w:t>
      </w:r>
      <w:r w:rsidR="00AE3DD2" w:rsidRPr="00AE3DD2">
        <w:rPr>
          <w:sz w:val="24"/>
          <w:szCs w:val="24"/>
        </w:rPr>
        <w:t>economie</w:t>
      </w:r>
      <w:r w:rsidR="00EA5FBC">
        <w:rPr>
          <w:sz w:val="24"/>
          <w:szCs w:val="24"/>
        </w:rPr>
        <w:t xml:space="preserve"> (prevalentemente asiatiche). Il quadro sulle politiche tariffarie statunitensi non è ancora stabile e definito, tanto da rendere la prospettiva per il prossimo trimestre ancora incerta, con aspetti ancora da chiarire. E’ probabile che dopo l’eccesso di export lungo la direttrice statunitense, segua un periodo di decumulo delle scorte delle imprese statunitensi </w:t>
      </w:r>
      <w:r w:rsidR="00293564">
        <w:rPr>
          <w:sz w:val="24"/>
          <w:szCs w:val="24"/>
        </w:rPr>
        <w:t xml:space="preserve">insieme ad un rallentamento della domanda interna degli USA, considerando anche l’inflazione crescente; di fatto, senza la spinta USA, il commercio internazionale agli inizi del 2026 dovrebbe partire con il freno a mano tirato, aggravato anche dal rallentamento e posticipo degli investimenti delle imprese manifatturiere. </w:t>
      </w:r>
    </w:p>
    <w:p w14:paraId="5EDB3ED7" w14:textId="2FAE5CDD" w:rsidR="00201A84" w:rsidRDefault="00DE0699" w:rsidP="00F53558">
      <w:pPr>
        <w:spacing w:after="0" w:line="240" w:lineRule="auto"/>
        <w:jc w:val="both"/>
      </w:pPr>
      <w:r>
        <w:rPr>
          <w:sz w:val="24"/>
        </w:rPr>
        <w:t xml:space="preserve">Per Firenze </w:t>
      </w:r>
      <w:r w:rsidR="000B17D8" w:rsidRPr="000B17D8">
        <w:t xml:space="preserve">gli unici settori </w:t>
      </w:r>
      <w:r>
        <w:t xml:space="preserve">esportatori </w:t>
      </w:r>
      <w:r w:rsidR="000B17D8" w:rsidRPr="000B17D8">
        <w:t>in positivo sono sostanzialmente due (meccanica e vini</w:t>
      </w:r>
      <w:r w:rsidR="007244F1">
        <w:t xml:space="preserve"> al netto del rimbalzo delle calzature</w:t>
      </w:r>
      <w:r w:rsidR="000B17D8" w:rsidRPr="000B17D8">
        <w:t>)</w:t>
      </w:r>
      <w:r w:rsidR="009A4D61">
        <w:t>; la meccanica sebbene mantenga una discreta quota negli Stati Uniti</w:t>
      </w:r>
      <w:r w:rsidR="00F2234C">
        <w:t xml:space="preserve"> (</w:t>
      </w:r>
      <w:r w:rsidR="001C30D4">
        <w:t>22</w:t>
      </w:r>
      <w:r w:rsidR="00F2234C">
        <w:t xml:space="preserve">%) ha visto aumentare la quota tra i 4 principali paesi (Cina, Singapore, Qatar e </w:t>
      </w:r>
      <w:r w:rsidR="001C30D4">
        <w:t>Algeria</w:t>
      </w:r>
      <w:r w:rsidR="00F2234C">
        <w:t>) dal 1</w:t>
      </w:r>
      <w:r w:rsidR="001C30D4">
        <w:t>8</w:t>
      </w:r>
      <w:r w:rsidR="00F2234C">
        <w:t xml:space="preserve">% al </w:t>
      </w:r>
      <w:r w:rsidR="001C30D4">
        <w:t>25</w:t>
      </w:r>
      <w:r w:rsidR="00F2234C">
        <w:t>% in un anno, seguendo la direttrice mediorientale</w:t>
      </w:r>
      <w:r w:rsidR="00F53558">
        <w:t xml:space="preserve"> soprattutto. P</w:t>
      </w:r>
      <w:r w:rsidR="00AF151F">
        <w:t xml:space="preserve">er </w:t>
      </w:r>
      <w:r w:rsidR="001F70E6">
        <w:t>la città metropolitana</w:t>
      </w:r>
      <w:r w:rsidR="00AF151F">
        <w:t xml:space="preserve">, </w:t>
      </w:r>
      <w:r w:rsidR="00F53558">
        <w:t>tende comunque ad emergere un</w:t>
      </w:r>
      <w:r w:rsidR="00AF151F">
        <w:t>a necessità di compensare il</w:t>
      </w:r>
      <w:r w:rsidR="00F53558">
        <w:t xml:space="preserve"> probabile</w:t>
      </w:r>
      <w:r w:rsidR="00AF151F">
        <w:t xml:space="preserve"> minor interscambio con il mercato statunitense</w:t>
      </w:r>
      <w:r w:rsidR="00F53558">
        <w:t xml:space="preserve">, che si profila all’orizzonte considerando che il forte aumento delle importazioni statunitensi ha sostenuto la domanda internazionale e su scala locale, con effetti positivi sui settori manifatturieri. Ciò ha portato ad aumento del livello delle scorte per le imprese degli USA, rappresentando quindi un effetto transitorio considerando che nei prossimi mesi potrebbe seguire una fase di </w:t>
      </w:r>
      <w:proofErr w:type="spellStart"/>
      <w:r w:rsidR="00F53558">
        <w:t>destoccaggio</w:t>
      </w:r>
      <w:proofErr w:type="spellEnd"/>
      <w:r w:rsidR="00F53558">
        <w:t xml:space="preserve"> da parte dell’industria statunitense, con effetti frenanti sulla congiuntura internazionale e sulle prospettive di investimento per l’attività industriale.</w:t>
      </w:r>
      <w:bookmarkEnd w:id="3"/>
      <w:r w:rsidR="00F53558">
        <w:t xml:space="preserve"> Lungo questa prospettiva i nuovi mercati che potrebbero consolidarsi dovrebbe esser tenuti in debita considerazione da parte degli esportatori locali come la direttrice mediorientale, nordafricana e anche dell’area Mercosur.</w:t>
      </w:r>
    </w:p>
    <w:p w14:paraId="19E0EB30" w14:textId="2C93F71E" w:rsidR="003B1D7C" w:rsidRPr="003B1D7C" w:rsidRDefault="003B1D7C" w:rsidP="006A6A41">
      <w:pPr>
        <w:spacing w:after="0" w:line="240" w:lineRule="auto"/>
        <w:jc w:val="both"/>
        <w:rPr>
          <w:sz w:val="18"/>
          <w:szCs w:val="16"/>
        </w:rPr>
      </w:pPr>
    </w:p>
    <w:p w14:paraId="6B14D4A9" w14:textId="68379DAF" w:rsidR="009114E6" w:rsidRDefault="009114E6" w:rsidP="002E347D">
      <w:pPr>
        <w:autoSpaceDE w:val="0"/>
        <w:spacing w:after="0" w:line="240" w:lineRule="auto"/>
        <w:rPr>
          <w:rFonts w:ascii="Arial" w:hAnsi="Arial" w:cs="Arial"/>
          <w:b/>
          <w:bCs/>
          <w:sz w:val="20"/>
          <w:szCs w:val="20"/>
        </w:rPr>
      </w:pPr>
    </w:p>
    <w:p w14:paraId="509D3EB3" w14:textId="2D184E48" w:rsidR="002E347D" w:rsidRDefault="002E347D" w:rsidP="002E347D">
      <w:pPr>
        <w:autoSpaceDE w:val="0"/>
        <w:spacing w:after="0" w:line="240" w:lineRule="auto"/>
        <w:rPr>
          <w:rFonts w:ascii="Arial" w:hAnsi="Arial" w:cs="Arial"/>
          <w:b/>
          <w:bCs/>
          <w:sz w:val="20"/>
          <w:szCs w:val="20"/>
        </w:rPr>
      </w:pPr>
      <w:bookmarkStart w:id="4" w:name="_Hlk216349896"/>
      <w:r w:rsidRPr="00C215C9">
        <w:rPr>
          <w:rFonts w:ascii="Arial" w:hAnsi="Arial" w:cs="Arial"/>
          <w:b/>
          <w:bCs/>
          <w:sz w:val="20"/>
          <w:szCs w:val="20"/>
        </w:rPr>
        <w:t>L’andamento dell’interscambi</w:t>
      </w:r>
      <w:r>
        <w:rPr>
          <w:rFonts w:ascii="Arial" w:hAnsi="Arial" w:cs="Arial"/>
          <w:b/>
          <w:bCs/>
          <w:sz w:val="20"/>
          <w:szCs w:val="20"/>
        </w:rPr>
        <w:t xml:space="preserve">o commerciale con l’estero al </w:t>
      </w:r>
      <w:r w:rsidR="005E0C9B">
        <w:rPr>
          <w:rFonts w:ascii="Arial" w:hAnsi="Arial" w:cs="Arial"/>
          <w:b/>
          <w:bCs/>
          <w:sz w:val="20"/>
          <w:szCs w:val="20"/>
        </w:rPr>
        <w:t>I</w:t>
      </w:r>
      <w:r>
        <w:rPr>
          <w:rFonts w:ascii="Arial" w:hAnsi="Arial" w:cs="Arial"/>
          <w:b/>
          <w:bCs/>
          <w:sz w:val="20"/>
          <w:szCs w:val="20"/>
        </w:rPr>
        <w:t>I</w:t>
      </w:r>
      <w:r w:rsidR="0013644F">
        <w:rPr>
          <w:rFonts w:ascii="Arial" w:hAnsi="Arial" w:cs="Arial"/>
          <w:b/>
          <w:bCs/>
          <w:sz w:val="20"/>
          <w:szCs w:val="20"/>
        </w:rPr>
        <w:t>I</w:t>
      </w:r>
      <w:r w:rsidRPr="00C215C9">
        <w:rPr>
          <w:rFonts w:ascii="Arial" w:hAnsi="Arial" w:cs="Arial"/>
          <w:b/>
          <w:bCs/>
          <w:sz w:val="20"/>
          <w:szCs w:val="20"/>
        </w:rPr>
        <w:t>° trimes</w:t>
      </w:r>
      <w:r w:rsidR="00925CE5">
        <w:rPr>
          <w:rFonts w:ascii="Arial" w:hAnsi="Arial" w:cs="Arial"/>
          <w:b/>
          <w:bCs/>
          <w:sz w:val="20"/>
          <w:szCs w:val="20"/>
        </w:rPr>
        <w:t>tre 202</w:t>
      </w:r>
      <w:r w:rsidR="003B1D7C">
        <w:rPr>
          <w:rFonts w:ascii="Arial" w:hAnsi="Arial" w:cs="Arial"/>
          <w:b/>
          <w:bCs/>
          <w:sz w:val="20"/>
          <w:szCs w:val="20"/>
        </w:rPr>
        <w:t>5</w:t>
      </w:r>
      <w:r>
        <w:rPr>
          <w:rFonts w:ascii="Arial" w:hAnsi="Arial" w:cs="Arial"/>
          <w:b/>
          <w:bCs/>
          <w:sz w:val="20"/>
          <w:szCs w:val="20"/>
        </w:rPr>
        <w:t xml:space="preserve"> e confronto con il 202</w:t>
      </w:r>
      <w:r w:rsidR="003B1D7C">
        <w:rPr>
          <w:rFonts w:ascii="Arial" w:hAnsi="Arial" w:cs="Arial"/>
          <w:b/>
          <w:bCs/>
          <w:sz w:val="20"/>
          <w:szCs w:val="20"/>
        </w:rPr>
        <w:t>4</w:t>
      </w:r>
    </w:p>
    <w:p w14:paraId="55BBDA3F" w14:textId="3F2BFC4F" w:rsidR="00BD6ACC" w:rsidRDefault="00BD6ACC" w:rsidP="002E347D">
      <w:pPr>
        <w:autoSpaceDE w:val="0"/>
        <w:spacing w:after="0" w:line="240" w:lineRule="auto"/>
        <w:rPr>
          <w:rFonts w:ascii="Arial" w:hAnsi="Arial" w:cs="Arial"/>
          <w:b/>
          <w:bCs/>
          <w:sz w:val="20"/>
          <w:szCs w:val="20"/>
        </w:rPr>
      </w:pPr>
      <w:r w:rsidRPr="00BD6ACC">
        <w:rPr>
          <w:noProof/>
          <w:lang w:eastAsia="it-IT"/>
        </w:rPr>
        <w:drawing>
          <wp:inline distT="0" distB="0" distL="0" distR="0" wp14:anchorId="1EFA7B12" wp14:editId="701870E3">
            <wp:extent cx="6120130" cy="1219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219200"/>
                    </a:xfrm>
                    <a:prstGeom prst="rect">
                      <a:avLst/>
                    </a:prstGeom>
                    <a:noFill/>
                    <a:ln>
                      <a:noFill/>
                    </a:ln>
                  </pic:spPr>
                </pic:pic>
              </a:graphicData>
            </a:graphic>
          </wp:inline>
        </w:drawing>
      </w:r>
    </w:p>
    <w:p w14:paraId="3B7B30B2" w14:textId="2789DDE1" w:rsidR="002E347D" w:rsidRPr="00661CEF" w:rsidRDefault="002E347D" w:rsidP="002E347D">
      <w:pPr>
        <w:autoSpaceDE w:val="0"/>
        <w:spacing w:after="0" w:line="240" w:lineRule="auto"/>
        <w:rPr>
          <w:rFonts w:ascii="Arial" w:hAnsi="Arial" w:cs="Arial"/>
          <w:b/>
          <w:bCs/>
          <w:sz w:val="20"/>
          <w:szCs w:val="20"/>
        </w:rPr>
      </w:pPr>
      <w:r w:rsidRPr="00C215C9">
        <w:rPr>
          <w:rFonts w:ascii="Arial" w:hAnsi="Arial" w:cs="Arial"/>
          <w:sz w:val="16"/>
          <w:szCs w:val="16"/>
        </w:rPr>
        <w:t>Fonte: elaborazioni su dati Istat</w:t>
      </w:r>
    </w:p>
    <w:bookmarkEnd w:id="4"/>
    <w:p w14:paraId="0007E413" w14:textId="437C0D25" w:rsidR="00642A97" w:rsidRDefault="00701144" w:rsidP="002E347D">
      <w:pPr>
        <w:autoSpaceDE w:val="0"/>
        <w:spacing w:after="0" w:line="240" w:lineRule="auto"/>
        <w:rPr>
          <w:rFonts w:ascii="Arial" w:hAnsi="Arial" w:cs="Arial"/>
          <w:sz w:val="16"/>
          <w:szCs w:val="16"/>
        </w:rPr>
      </w:pPr>
      <w:r w:rsidRPr="00701144">
        <w:rPr>
          <w:noProof/>
          <w:lang w:eastAsia="it-IT"/>
        </w:rPr>
        <w:drawing>
          <wp:anchor distT="0" distB="0" distL="114300" distR="114300" simplePos="0" relativeHeight="251732992" behindDoc="1" locked="0" layoutInCell="1" allowOverlap="1" wp14:anchorId="63ABEEC8" wp14:editId="07317E7C">
            <wp:simplePos x="0" y="0"/>
            <wp:positionH relativeFrom="column">
              <wp:posOffset>-49530</wp:posOffset>
            </wp:positionH>
            <wp:positionV relativeFrom="paragraph">
              <wp:posOffset>140970</wp:posOffset>
            </wp:positionV>
            <wp:extent cx="6120130" cy="1820545"/>
            <wp:effectExtent l="0" t="0" r="0" b="8255"/>
            <wp:wrapTight wrapText="bothSides">
              <wp:wrapPolygon edited="0">
                <wp:start x="0" y="0"/>
                <wp:lineTo x="0" y="21472"/>
                <wp:lineTo x="21515" y="21472"/>
                <wp:lineTo x="21515"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82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56459" w14:textId="55E5E310" w:rsidR="00642A97" w:rsidRPr="002E347D" w:rsidRDefault="00642A97" w:rsidP="002E347D">
      <w:pPr>
        <w:autoSpaceDE w:val="0"/>
        <w:spacing w:after="0" w:line="240" w:lineRule="auto"/>
        <w:rPr>
          <w:rFonts w:ascii="Arial" w:hAnsi="Arial" w:cs="Arial"/>
          <w:sz w:val="16"/>
          <w:szCs w:val="16"/>
        </w:rPr>
      </w:pPr>
    </w:p>
    <w:p w14:paraId="34A7940F" w14:textId="2EAB5557" w:rsidR="00D92A03" w:rsidRPr="001A66BB" w:rsidRDefault="007D3A5A" w:rsidP="006013C4">
      <w:pPr>
        <w:spacing w:after="0" w:line="240" w:lineRule="auto"/>
        <w:jc w:val="both"/>
        <w:rPr>
          <w:iCs/>
          <w:sz w:val="18"/>
          <w:szCs w:val="16"/>
        </w:rPr>
      </w:pPr>
      <w:r w:rsidRPr="001A66BB">
        <w:rPr>
          <w:iCs/>
          <w:noProof/>
          <w:sz w:val="16"/>
          <w:szCs w:val="16"/>
          <w:lang w:eastAsia="it-IT"/>
        </w:rPr>
        <w:lastRenderedPageBreak/>
        <w:drawing>
          <wp:anchor distT="0" distB="0" distL="114300" distR="114300" simplePos="0" relativeHeight="251729920" behindDoc="1" locked="0" layoutInCell="1" allowOverlap="1" wp14:anchorId="41B73586" wp14:editId="4FFE9241">
            <wp:simplePos x="0" y="0"/>
            <wp:positionH relativeFrom="column">
              <wp:posOffset>7620</wp:posOffset>
            </wp:positionH>
            <wp:positionV relativeFrom="paragraph">
              <wp:posOffset>24180</wp:posOffset>
            </wp:positionV>
            <wp:extent cx="6120130" cy="1848485"/>
            <wp:effectExtent l="0" t="0" r="0" b="0"/>
            <wp:wrapTight wrapText="bothSides">
              <wp:wrapPolygon edited="0">
                <wp:start x="10488" y="0"/>
                <wp:lineTo x="0" y="0"/>
                <wp:lineTo x="0" y="21370"/>
                <wp:lineTo x="21515" y="21370"/>
                <wp:lineTo x="21515" y="0"/>
                <wp:lineTo x="10488"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84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0F9" w:rsidRPr="001A66BB">
        <w:rPr>
          <w:iCs/>
          <w:sz w:val="18"/>
          <w:szCs w:val="16"/>
        </w:rPr>
        <w:t xml:space="preserve"> </w:t>
      </w:r>
      <w:r w:rsidR="006C4EC9" w:rsidRPr="001A66BB">
        <w:rPr>
          <w:iCs/>
          <w:sz w:val="18"/>
          <w:szCs w:val="16"/>
        </w:rPr>
        <w:t xml:space="preserve"> </w:t>
      </w:r>
      <w:r w:rsidR="00526C65" w:rsidRPr="001A66BB">
        <w:rPr>
          <w:iCs/>
          <w:sz w:val="18"/>
          <w:szCs w:val="16"/>
        </w:rPr>
        <w:t xml:space="preserve"> </w:t>
      </w:r>
      <w:r w:rsidR="001A66BB" w:rsidRPr="001A66BB">
        <w:rPr>
          <w:iCs/>
          <w:sz w:val="18"/>
          <w:szCs w:val="16"/>
        </w:rPr>
        <w:t>Fonte: elaborazioni su dati Investing.com e S&amp;P global</w:t>
      </w:r>
    </w:p>
    <w:p w14:paraId="05175D17" w14:textId="260B1950" w:rsidR="007D3A5A" w:rsidRDefault="00933778" w:rsidP="006013C4">
      <w:pPr>
        <w:spacing w:after="0" w:line="240" w:lineRule="auto"/>
        <w:jc w:val="both"/>
        <w:rPr>
          <w:i/>
          <w:sz w:val="24"/>
        </w:rPr>
      </w:pPr>
      <w:r w:rsidRPr="00933778">
        <w:rPr>
          <w:noProof/>
          <w:lang w:eastAsia="it-IT"/>
        </w:rPr>
        <w:drawing>
          <wp:anchor distT="0" distB="0" distL="114300" distR="114300" simplePos="0" relativeHeight="251730944" behindDoc="1" locked="0" layoutInCell="1" allowOverlap="1" wp14:anchorId="72CC05C2" wp14:editId="586742A2">
            <wp:simplePos x="0" y="0"/>
            <wp:positionH relativeFrom="margin">
              <wp:align>right</wp:align>
            </wp:positionH>
            <wp:positionV relativeFrom="paragraph">
              <wp:posOffset>268246</wp:posOffset>
            </wp:positionV>
            <wp:extent cx="6120130" cy="1787525"/>
            <wp:effectExtent l="0" t="0" r="0" b="3175"/>
            <wp:wrapTight wrapText="bothSides">
              <wp:wrapPolygon edited="0">
                <wp:start x="0" y="0"/>
                <wp:lineTo x="0" y="21408"/>
                <wp:lineTo x="21515" y="21408"/>
                <wp:lineTo x="21515"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78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24112" w14:textId="11E48273" w:rsidR="001A66BB" w:rsidRDefault="001A66BB" w:rsidP="006013C4">
      <w:pPr>
        <w:spacing w:after="0" w:line="240" w:lineRule="auto"/>
        <w:jc w:val="both"/>
        <w:rPr>
          <w:i/>
          <w:sz w:val="24"/>
        </w:rPr>
      </w:pPr>
    </w:p>
    <w:p w14:paraId="4E722710" w14:textId="066D41E9" w:rsidR="001A5B12" w:rsidRPr="001A66BB" w:rsidRDefault="00C83124" w:rsidP="006013C4">
      <w:pPr>
        <w:spacing w:after="0" w:line="240" w:lineRule="auto"/>
        <w:jc w:val="both"/>
        <w:rPr>
          <w:iCs/>
          <w:sz w:val="18"/>
          <w:szCs w:val="16"/>
        </w:rPr>
      </w:pPr>
      <w:r w:rsidRPr="00C83124">
        <w:rPr>
          <w:noProof/>
          <w:lang w:eastAsia="it-IT"/>
        </w:rPr>
        <w:drawing>
          <wp:anchor distT="0" distB="0" distL="114300" distR="114300" simplePos="0" relativeHeight="251731968" behindDoc="1" locked="0" layoutInCell="1" allowOverlap="1" wp14:anchorId="3F863A28" wp14:editId="288629BD">
            <wp:simplePos x="0" y="0"/>
            <wp:positionH relativeFrom="margin">
              <wp:align>right</wp:align>
            </wp:positionH>
            <wp:positionV relativeFrom="paragraph">
              <wp:posOffset>459105</wp:posOffset>
            </wp:positionV>
            <wp:extent cx="6120130" cy="1943735"/>
            <wp:effectExtent l="0" t="0" r="0" b="0"/>
            <wp:wrapTight wrapText="bothSides">
              <wp:wrapPolygon edited="0">
                <wp:start x="0" y="0"/>
                <wp:lineTo x="0" y="21381"/>
                <wp:lineTo x="21515" y="21381"/>
                <wp:lineTo x="2151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A5A" w:rsidRPr="001A66BB">
        <w:rPr>
          <w:iCs/>
          <w:noProof/>
          <w:sz w:val="16"/>
          <w:szCs w:val="16"/>
          <w:lang w:eastAsia="it-IT"/>
        </w:rPr>
        <w:drawing>
          <wp:anchor distT="0" distB="0" distL="114300" distR="114300" simplePos="0" relativeHeight="251694080" behindDoc="0" locked="0" layoutInCell="1" allowOverlap="1" wp14:anchorId="6D7FD3DE" wp14:editId="152EC482">
            <wp:simplePos x="0" y="0"/>
            <wp:positionH relativeFrom="margin">
              <wp:posOffset>137340</wp:posOffset>
            </wp:positionH>
            <wp:positionV relativeFrom="paragraph">
              <wp:posOffset>2569261</wp:posOffset>
            </wp:positionV>
            <wp:extent cx="1553845" cy="218206"/>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3845" cy="218206"/>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B" w:rsidRPr="001A66BB">
        <w:rPr>
          <w:iCs/>
          <w:sz w:val="18"/>
          <w:szCs w:val="16"/>
        </w:rPr>
        <w:t>Fonte: elaborazioni su dati Commissione Europea e CPB World trade monitor</w:t>
      </w:r>
    </w:p>
    <w:sectPr w:rsidR="001A5B12" w:rsidRPr="001A66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32"/>
    <w:rsid w:val="000012ED"/>
    <w:rsid w:val="00006E05"/>
    <w:rsid w:val="000137A1"/>
    <w:rsid w:val="000275BB"/>
    <w:rsid w:val="00043FDF"/>
    <w:rsid w:val="000634A7"/>
    <w:rsid w:val="00071813"/>
    <w:rsid w:val="0007395D"/>
    <w:rsid w:val="00085C25"/>
    <w:rsid w:val="00094239"/>
    <w:rsid w:val="000B17D8"/>
    <w:rsid w:val="000B2DEA"/>
    <w:rsid w:val="000B4F34"/>
    <w:rsid w:val="000C0802"/>
    <w:rsid w:val="000C6171"/>
    <w:rsid w:val="000C78BD"/>
    <w:rsid w:val="000D7589"/>
    <w:rsid w:val="000F6C1D"/>
    <w:rsid w:val="00105E78"/>
    <w:rsid w:val="00106F08"/>
    <w:rsid w:val="0011149D"/>
    <w:rsid w:val="00115DF0"/>
    <w:rsid w:val="001276D3"/>
    <w:rsid w:val="00130F3B"/>
    <w:rsid w:val="001316E4"/>
    <w:rsid w:val="001318D7"/>
    <w:rsid w:val="001330CF"/>
    <w:rsid w:val="00135DF4"/>
    <w:rsid w:val="0013644F"/>
    <w:rsid w:val="00136DD8"/>
    <w:rsid w:val="00140D69"/>
    <w:rsid w:val="00156A1F"/>
    <w:rsid w:val="00157603"/>
    <w:rsid w:val="001625FD"/>
    <w:rsid w:val="001829E3"/>
    <w:rsid w:val="001835C9"/>
    <w:rsid w:val="00186BC4"/>
    <w:rsid w:val="001917D8"/>
    <w:rsid w:val="00192126"/>
    <w:rsid w:val="00192E32"/>
    <w:rsid w:val="001A25DA"/>
    <w:rsid w:val="001A5B12"/>
    <w:rsid w:val="001A66BB"/>
    <w:rsid w:val="001A7966"/>
    <w:rsid w:val="001B244E"/>
    <w:rsid w:val="001B3F7A"/>
    <w:rsid w:val="001C0EF4"/>
    <w:rsid w:val="001C25A8"/>
    <w:rsid w:val="001C30D4"/>
    <w:rsid w:val="001C31E5"/>
    <w:rsid w:val="001D3CCB"/>
    <w:rsid w:val="001F0AF8"/>
    <w:rsid w:val="001F2E7F"/>
    <w:rsid w:val="001F61D1"/>
    <w:rsid w:val="001F70E6"/>
    <w:rsid w:val="00200DFA"/>
    <w:rsid w:val="00201A84"/>
    <w:rsid w:val="002066C5"/>
    <w:rsid w:val="002135AB"/>
    <w:rsid w:val="0021492C"/>
    <w:rsid w:val="0022315D"/>
    <w:rsid w:val="002252C6"/>
    <w:rsid w:val="00227C25"/>
    <w:rsid w:val="00260465"/>
    <w:rsid w:val="0027174D"/>
    <w:rsid w:val="00272C13"/>
    <w:rsid w:val="00273548"/>
    <w:rsid w:val="002771E7"/>
    <w:rsid w:val="00281345"/>
    <w:rsid w:val="00281D6E"/>
    <w:rsid w:val="002857B5"/>
    <w:rsid w:val="00291A62"/>
    <w:rsid w:val="00293564"/>
    <w:rsid w:val="002964AE"/>
    <w:rsid w:val="002C1224"/>
    <w:rsid w:val="002C1302"/>
    <w:rsid w:val="002C35B2"/>
    <w:rsid w:val="002C3F3F"/>
    <w:rsid w:val="002C635F"/>
    <w:rsid w:val="002C7B9C"/>
    <w:rsid w:val="002D7171"/>
    <w:rsid w:val="002E347D"/>
    <w:rsid w:val="002E4B0D"/>
    <w:rsid w:val="00300727"/>
    <w:rsid w:val="00300E65"/>
    <w:rsid w:val="00306A9D"/>
    <w:rsid w:val="00311319"/>
    <w:rsid w:val="0032590B"/>
    <w:rsid w:val="0032660B"/>
    <w:rsid w:val="00330B6E"/>
    <w:rsid w:val="00346DC6"/>
    <w:rsid w:val="00347B01"/>
    <w:rsid w:val="00376BCE"/>
    <w:rsid w:val="00384EF0"/>
    <w:rsid w:val="00390632"/>
    <w:rsid w:val="003A17BB"/>
    <w:rsid w:val="003A36EE"/>
    <w:rsid w:val="003A7D79"/>
    <w:rsid w:val="003B15EE"/>
    <w:rsid w:val="003B1D7C"/>
    <w:rsid w:val="003B74B4"/>
    <w:rsid w:val="003B7FCB"/>
    <w:rsid w:val="003C4BC0"/>
    <w:rsid w:val="003C7384"/>
    <w:rsid w:val="003D3B75"/>
    <w:rsid w:val="003E0C02"/>
    <w:rsid w:val="003E13D0"/>
    <w:rsid w:val="003E692A"/>
    <w:rsid w:val="003E7036"/>
    <w:rsid w:val="003F326D"/>
    <w:rsid w:val="00413E3A"/>
    <w:rsid w:val="0041759B"/>
    <w:rsid w:val="00423A79"/>
    <w:rsid w:val="00425709"/>
    <w:rsid w:val="00433156"/>
    <w:rsid w:val="0044074D"/>
    <w:rsid w:val="004506AB"/>
    <w:rsid w:val="00450CAB"/>
    <w:rsid w:val="0045174F"/>
    <w:rsid w:val="00454928"/>
    <w:rsid w:val="00463573"/>
    <w:rsid w:val="00480A78"/>
    <w:rsid w:val="0048679F"/>
    <w:rsid w:val="00494712"/>
    <w:rsid w:val="004A10D8"/>
    <w:rsid w:val="004A177A"/>
    <w:rsid w:val="004B6C76"/>
    <w:rsid w:val="004C2C7C"/>
    <w:rsid w:val="004C649C"/>
    <w:rsid w:val="00526C65"/>
    <w:rsid w:val="00531D75"/>
    <w:rsid w:val="00536A0E"/>
    <w:rsid w:val="00541041"/>
    <w:rsid w:val="005557A6"/>
    <w:rsid w:val="00557A16"/>
    <w:rsid w:val="00560EA9"/>
    <w:rsid w:val="00594D84"/>
    <w:rsid w:val="005A3EBD"/>
    <w:rsid w:val="005A730B"/>
    <w:rsid w:val="005B0407"/>
    <w:rsid w:val="005B0888"/>
    <w:rsid w:val="005C5A8B"/>
    <w:rsid w:val="005D4715"/>
    <w:rsid w:val="005E0C9B"/>
    <w:rsid w:val="005E304C"/>
    <w:rsid w:val="005E3C75"/>
    <w:rsid w:val="005E49F7"/>
    <w:rsid w:val="005E735A"/>
    <w:rsid w:val="005F12B2"/>
    <w:rsid w:val="005F6F15"/>
    <w:rsid w:val="005F7F1D"/>
    <w:rsid w:val="006013C4"/>
    <w:rsid w:val="006179BE"/>
    <w:rsid w:val="00620CCF"/>
    <w:rsid w:val="006237AB"/>
    <w:rsid w:val="006243C2"/>
    <w:rsid w:val="00625288"/>
    <w:rsid w:val="006426B8"/>
    <w:rsid w:val="00642A97"/>
    <w:rsid w:val="006466ED"/>
    <w:rsid w:val="00660A76"/>
    <w:rsid w:val="00661CEF"/>
    <w:rsid w:val="00663533"/>
    <w:rsid w:val="00667A07"/>
    <w:rsid w:val="0067191B"/>
    <w:rsid w:val="006918AD"/>
    <w:rsid w:val="00692652"/>
    <w:rsid w:val="0069603B"/>
    <w:rsid w:val="00697FF3"/>
    <w:rsid w:val="006A6A41"/>
    <w:rsid w:val="006B5DAC"/>
    <w:rsid w:val="006C4EC9"/>
    <w:rsid w:val="006D45CD"/>
    <w:rsid w:val="006D61E3"/>
    <w:rsid w:val="006E08DA"/>
    <w:rsid w:val="006E0B08"/>
    <w:rsid w:val="006E144E"/>
    <w:rsid w:val="006E17CE"/>
    <w:rsid w:val="006E6E7B"/>
    <w:rsid w:val="00700599"/>
    <w:rsid w:val="00701144"/>
    <w:rsid w:val="0070655F"/>
    <w:rsid w:val="00712703"/>
    <w:rsid w:val="007155EF"/>
    <w:rsid w:val="007244F1"/>
    <w:rsid w:val="0072659B"/>
    <w:rsid w:val="00734737"/>
    <w:rsid w:val="0075302B"/>
    <w:rsid w:val="00754E4E"/>
    <w:rsid w:val="00764781"/>
    <w:rsid w:val="00774782"/>
    <w:rsid w:val="00774FDE"/>
    <w:rsid w:val="00783C87"/>
    <w:rsid w:val="0078642C"/>
    <w:rsid w:val="007A1AB0"/>
    <w:rsid w:val="007A4133"/>
    <w:rsid w:val="007B1B90"/>
    <w:rsid w:val="007D167B"/>
    <w:rsid w:val="007D3769"/>
    <w:rsid w:val="007D3A5A"/>
    <w:rsid w:val="007D6516"/>
    <w:rsid w:val="007F75B6"/>
    <w:rsid w:val="008030A0"/>
    <w:rsid w:val="0081203D"/>
    <w:rsid w:val="00813A6F"/>
    <w:rsid w:val="008252D9"/>
    <w:rsid w:val="00833B1D"/>
    <w:rsid w:val="0083709F"/>
    <w:rsid w:val="00841662"/>
    <w:rsid w:val="0085419A"/>
    <w:rsid w:val="00874365"/>
    <w:rsid w:val="00875E39"/>
    <w:rsid w:val="00887E39"/>
    <w:rsid w:val="0089130F"/>
    <w:rsid w:val="00897F13"/>
    <w:rsid w:val="008B50CA"/>
    <w:rsid w:val="008C3CEC"/>
    <w:rsid w:val="008D0192"/>
    <w:rsid w:val="008D076C"/>
    <w:rsid w:val="008D695D"/>
    <w:rsid w:val="008E1C55"/>
    <w:rsid w:val="008F02C2"/>
    <w:rsid w:val="008F0CED"/>
    <w:rsid w:val="008F34EC"/>
    <w:rsid w:val="008F6390"/>
    <w:rsid w:val="008F76BC"/>
    <w:rsid w:val="0090067A"/>
    <w:rsid w:val="00905F71"/>
    <w:rsid w:val="00906103"/>
    <w:rsid w:val="009114E6"/>
    <w:rsid w:val="00915742"/>
    <w:rsid w:val="00924387"/>
    <w:rsid w:val="00925CE5"/>
    <w:rsid w:val="00930ECE"/>
    <w:rsid w:val="009310E8"/>
    <w:rsid w:val="00933778"/>
    <w:rsid w:val="00942C71"/>
    <w:rsid w:val="00942D1F"/>
    <w:rsid w:val="009474E9"/>
    <w:rsid w:val="00955315"/>
    <w:rsid w:val="009640C7"/>
    <w:rsid w:val="0096743B"/>
    <w:rsid w:val="00970D1A"/>
    <w:rsid w:val="0097441F"/>
    <w:rsid w:val="00983984"/>
    <w:rsid w:val="009862C2"/>
    <w:rsid w:val="00995423"/>
    <w:rsid w:val="009A4D61"/>
    <w:rsid w:val="009A5AE9"/>
    <w:rsid w:val="009A6C0F"/>
    <w:rsid w:val="009A75D6"/>
    <w:rsid w:val="009B5EDF"/>
    <w:rsid w:val="009B7065"/>
    <w:rsid w:val="009C018A"/>
    <w:rsid w:val="009D65D0"/>
    <w:rsid w:val="009D6AC1"/>
    <w:rsid w:val="009E1AF4"/>
    <w:rsid w:val="00A000D7"/>
    <w:rsid w:val="00A06597"/>
    <w:rsid w:val="00A11C8F"/>
    <w:rsid w:val="00A24D35"/>
    <w:rsid w:val="00A2566A"/>
    <w:rsid w:val="00A27DAD"/>
    <w:rsid w:val="00A27F9C"/>
    <w:rsid w:val="00A32835"/>
    <w:rsid w:val="00A40750"/>
    <w:rsid w:val="00A43FDE"/>
    <w:rsid w:val="00A46567"/>
    <w:rsid w:val="00A60573"/>
    <w:rsid w:val="00A67071"/>
    <w:rsid w:val="00A70756"/>
    <w:rsid w:val="00A83CAE"/>
    <w:rsid w:val="00A87DCA"/>
    <w:rsid w:val="00AA2257"/>
    <w:rsid w:val="00AB0ECD"/>
    <w:rsid w:val="00AC05B0"/>
    <w:rsid w:val="00AD0D46"/>
    <w:rsid w:val="00AD544D"/>
    <w:rsid w:val="00AE3DD2"/>
    <w:rsid w:val="00AF151F"/>
    <w:rsid w:val="00B15093"/>
    <w:rsid w:val="00B24F49"/>
    <w:rsid w:val="00B32603"/>
    <w:rsid w:val="00B3394F"/>
    <w:rsid w:val="00B40879"/>
    <w:rsid w:val="00B417F2"/>
    <w:rsid w:val="00B4272A"/>
    <w:rsid w:val="00B543D1"/>
    <w:rsid w:val="00B60745"/>
    <w:rsid w:val="00B72410"/>
    <w:rsid w:val="00B74CD6"/>
    <w:rsid w:val="00B77C60"/>
    <w:rsid w:val="00B97555"/>
    <w:rsid w:val="00BA4261"/>
    <w:rsid w:val="00BB3246"/>
    <w:rsid w:val="00BB3ED7"/>
    <w:rsid w:val="00BD3D7E"/>
    <w:rsid w:val="00BD4A49"/>
    <w:rsid w:val="00BD6ACC"/>
    <w:rsid w:val="00BD6E12"/>
    <w:rsid w:val="00BE58E7"/>
    <w:rsid w:val="00C154A1"/>
    <w:rsid w:val="00C16D7B"/>
    <w:rsid w:val="00C32E49"/>
    <w:rsid w:val="00C50A5E"/>
    <w:rsid w:val="00C54220"/>
    <w:rsid w:val="00C54FDC"/>
    <w:rsid w:val="00C600F9"/>
    <w:rsid w:val="00C6175D"/>
    <w:rsid w:val="00C74CC1"/>
    <w:rsid w:val="00C83124"/>
    <w:rsid w:val="00C86520"/>
    <w:rsid w:val="00C950CB"/>
    <w:rsid w:val="00CB2572"/>
    <w:rsid w:val="00CB7AED"/>
    <w:rsid w:val="00CC30BE"/>
    <w:rsid w:val="00CF1992"/>
    <w:rsid w:val="00CF2B77"/>
    <w:rsid w:val="00CF5E10"/>
    <w:rsid w:val="00D024B9"/>
    <w:rsid w:val="00D07476"/>
    <w:rsid w:val="00D1142D"/>
    <w:rsid w:val="00D1356B"/>
    <w:rsid w:val="00D2360B"/>
    <w:rsid w:val="00D23F58"/>
    <w:rsid w:val="00D303BE"/>
    <w:rsid w:val="00D33668"/>
    <w:rsid w:val="00D346D3"/>
    <w:rsid w:val="00D35B5D"/>
    <w:rsid w:val="00D42DEB"/>
    <w:rsid w:val="00D4300E"/>
    <w:rsid w:val="00D52218"/>
    <w:rsid w:val="00D64A57"/>
    <w:rsid w:val="00D70069"/>
    <w:rsid w:val="00D73010"/>
    <w:rsid w:val="00D752C7"/>
    <w:rsid w:val="00D764B7"/>
    <w:rsid w:val="00D774BF"/>
    <w:rsid w:val="00D83576"/>
    <w:rsid w:val="00D86601"/>
    <w:rsid w:val="00D912E9"/>
    <w:rsid w:val="00D92A03"/>
    <w:rsid w:val="00DA320F"/>
    <w:rsid w:val="00DA38FE"/>
    <w:rsid w:val="00DB01D1"/>
    <w:rsid w:val="00DB160A"/>
    <w:rsid w:val="00DB7A0D"/>
    <w:rsid w:val="00DC71BB"/>
    <w:rsid w:val="00DD7095"/>
    <w:rsid w:val="00DE0699"/>
    <w:rsid w:val="00DE0873"/>
    <w:rsid w:val="00DF18F6"/>
    <w:rsid w:val="00DF1F99"/>
    <w:rsid w:val="00E04F8F"/>
    <w:rsid w:val="00E07223"/>
    <w:rsid w:val="00E16999"/>
    <w:rsid w:val="00E23889"/>
    <w:rsid w:val="00E359A7"/>
    <w:rsid w:val="00E5297C"/>
    <w:rsid w:val="00E54488"/>
    <w:rsid w:val="00E55A7C"/>
    <w:rsid w:val="00E639D8"/>
    <w:rsid w:val="00E64785"/>
    <w:rsid w:val="00E71720"/>
    <w:rsid w:val="00E71A4C"/>
    <w:rsid w:val="00E75426"/>
    <w:rsid w:val="00E82910"/>
    <w:rsid w:val="00E83563"/>
    <w:rsid w:val="00E90E53"/>
    <w:rsid w:val="00EA5FBC"/>
    <w:rsid w:val="00EC13C1"/>
    <w:rsid w:val="00EC2229"/>
    <w:rsid w:val="00ED5DDE"/>
    <w:rsid w:val="00EE138C"/>
    <w:rsid w:val="00F03508"/>
    <w:rsid w:val="00F12866"/>
    <w:rsid w:val="00F20A8C"/>
    <w:rsid w:val="00F2234C"/>
    <w:rsid w:val="00F24E6E"/>
    <w:rsid w:val="00F46195"/>
    <w:rsid w:val="00F462DF"/>
    <w:rsid w:val="00F47386"/>
    <w:rsid w:val="00F50E5C"/>
    <w:rsid w:val="00F53558"/>
    <w:rsid w:val="00F64109"/>
    <w:rsid w:val="00F64D5E"/>
    <w:rsid w:val="00F72C23"/>
    <w:rsid w:val="00F76624"/>
    <w:rsid w:val="00FA5821"/>
    <w:rsid w:val="00FA64C4"/>
    <w:rsid w:val="00FB1E47"/>
    <w:rsid w:val="00FB3ADE"/>
    <w:rsid w:val="00FC5AE6"/>
    <w:rsid w:val="00FD4506"/>
    <w:rsid w:val="00FE05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8318"/>
  <w15:chartTrackingRefBased/>
  <w15:docId w15:val="{C83342EF-D228-43A4-9294-7A361DC6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fontTable" Target="fontTable.xml"/><Relationship Id="rId10" Type="http://schemas.openxmlformats.org/officeDocument/2006/relationships/image" Target="media/image7.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9861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Batazzi</dc:creator>
  <cp:keywords/>
  <dc:description/>
  <cp:lastModifiedBy>Addetto Stampa 2</cp:lastModifiedBy>
  <cp:revision>2</cp:revision>
  <dcterms:created xsi:type="dcterms:W3CDTF">2025-12-12T10:24:00Z</dcterms:created>
  <dcterms:modified xsi:type="dcterms:W3CDTF">2025-12-12T10:24:00Z</dcterms:modified>
</cp:coreProperties>
</file>